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FEBAC5" w14:textId="77777777" w:rsidR="00A64262" w:rsidRDefault="00A64262" w:rsidP="00A64262">
      <w:pPr>
        <w:pStyle w:val="Titre1"/>
        <w:spacing w:before="240" w:after="144"/>
      </w:pPr>
      <w:bookmarkStart w:id="0" w:name="_Toc13747819"/>
      <w:bookmarkStart w:id="1" w:name="_Toc33460354"/>
      <w:r w:rsidRPr="00B63533">
        <w:t>Curriculum Vitae</w:t>
      </w:r>
      <w:bookmarkEnd w:id="0"/>
      <w:bookmarkEnd w:id="1"/>
    </w:p>
    <w:p w14:paraId="364FF4B4" w14:textId="77777777" w:rsidR="00A64262" w:rsidRPr="00331841" w:rsidRDefault="00A64262" w:rsidP="00A64262">
      <w:pPr>
        <w:pStyle w:val="Titre2"/>
      </w:pPr>
      <w:bookmarkStart w:id="2" w:name="_Toc13747820"/>
      <w:bookmarkStart w:id="3" w:name="_Toc33460355"/>
      <w:r w:rsidRPr="00331841">
        <w:t>Etat civil</w:t>
      </w:r>
      <w:bookmarkEnd w:id="2"/>
      <w:bookmarkEnd w:id="3"/>
    </w:p>
    <w:p w14:paraId="346B6EC4" w14:textId="77777777" w:rsidR="00A64262" w:rsidRPr="00013688" w:rsidRDefault="00A64262" w:rsidP="00A64262">
      <w:pPr>
        <w:pStyle w:val="normaltableau"/>
        <w:spacing w:line="240" w:lineRule="auto"/>
        <w:rPr>
          <w:szCs w:val="20"/>
        </w:rPr>
      </w:pPr>
      <w:r w:rsidRPr="00013688">
        <w:rPr>
          <w:szCs w:val="20"/>
        </w:rPr>
        <w:t>Stéphane HAMAYON</w:t>
      </w:r>
    </w:p>
    <w:p w14:paraId="188512B9" w14:textId="77777777" w:rsidR="00A64262" w:rsidRDefault="00A64262" w:rsidP="00A64262">
      <w:pPr>
        <w:pStyle w:val="normaltableau"/>
        <w:spacing w:line="240" w:lineRule="auto"/>
        <w:rPr>
          <w:szCs w:val="20"/>
        </w:rPr>
      </w:pPr>
      <w:r>
        <w:rPr>
          <w:szCs w:val="20"/>
        </w:rPr>
        <w:t>Date de naissance : 29 avril 1959 à Lorient (56)</w:t>
      </w:r>
    </w:p>
    <w:p w14:paraId="442BFB8E" w14:textId="77777777" w:rsidR="00A64262" w:rsidRDefault="00A64262" w:rsidP="00A64262">
      <w:pPr>
        <w:pStyle w:val="normaltableau"/>
        <w:spacing w:line="240" w:lineRule="auto"/>
        <w:rPr>
          <w:szCs w:val="20"/>
        </w:rPr>
      </w:pPr>
      <w:r>
        <w:rPr>
          <w:szCs w:val="20"/>
        </w:rPr>
        <w:t>Nationalité française</w:t>
      </w:r>
    </w:p>
    <w:p w14:paraId="665E40D6" w14:textId="77777777" w:rsidR="00A64262" w:rsidRDefault="00A64262" w:rsidP="00A64262">
      <w:pPr>
        <w:pStyle w:val="normaltableau"/>
        <w:spacing w:line="240" w:lineRule="auto"/>
        <w:rPr>
          <w:szCs w:val="20"/>
        </w:rPr>
      </w:pPr>
      <w:r>
        <w:rPr>
          <w:szCs w:val="20"/>
        </w:rPr>
        <w:t>Vie maritale, 1 enfant</w:t>
      </w:r>
    </w:p>
    <w:p w14:paraId="48EA522B" w14:textId="77777777" w:rsidR="00A64262" w:rsidRDefault="00A64262" w:rsidP="00A64262">
      <w:pPr>
        <w:pStyle w:val="Titre2"/>
      </w:pPr>
      <w:bookmarkStart w:id="4" w:name="_Toc13747821"/>
      <w:bookmarkStart w:id="5" w:name="_Toc33460356"/>
      <w:r w:rsidRPr="00331841">
        <w:t>Formation universitaire</w:t>
      </w:r>
      <w:bookmarkEnd w:id="4"/>
      <w:bookmarkEnd w:id="5"/>
    </w:p>
    <w:p w14:paraId="605F2232" w14:textId="1FBA1935" w:rsidR="00F97BD8" w:rsidRDefault="00F97BD8" w:rsidP="000E1FE0">
      <w:pPr>
        <w:spacing w:before="240" w:after="144"/>
        <w:rPr>
          <w:szCs w:val="20"/>
        </w:rPr>
      </w:pPr>
      <w:r>
        <w:rPr>
          <w:szCs w:val="20"/>
        </w:rPr>
        <w:t xml:space="preserve">2021 - </w:t>
      </w:r>
      <w:r w:rsidRPr="00F97BD8">
        <w:rPr>
          <w:szCs w:val="20"/>
        </w:rPr>
        <w:t xml:space="preserve">Professeur Affilié Recherche </w:t>
      </w:r>
      <w:r>
        <w:rPr>
          <w:szCs w:val="20"/>
        </w:rPr>
        <w:t>à L’ICN</w:t>
      </w:r>
    </w:p>
    <w:p w14:paraId="3CAFCB8E" w14:textId="0998CEEE" w:rsidR="000E1FE0" w:rsidRDefault="000E1FE0" w:rsidP="000E1FE0">
      <w:pPr>
        <w:spacing w:before="240" w:after="144"/>
      </w:pPr>
      <w:r>
        <w:rPr>
          <w:szCs w:val="20"/>
        </w:rPr>
        <w:t>2020</w:t>
      </w:r>
      <w:r w:rsidRPr="00331841">
        <w:rPr>
          <w:szCs w:val="20"/>
        </w:rPr>
        <w:t xml:space="preserve"> </w:t>
      </w:r>
      <w:r>
        <w:rPr>
          <w:szCs w:val="20"/>
        </w:rPr>
        <w:t xml:space="preserve">- </w:t>
      </w:r>
      <w:r>
        <w:t>Habilitation à Diriger les Recherches</w:t>
      </w:r>
      <w:r w:rsidR="000F44A2">
        <w:rPr>
          <w:rStyle w:val="Appelnotedebasdep"/>
        </w:rPr>
        <w:footnoteReference w:id="1"/>
      </w:r>
      <w:r>
        <w:t xml:space="preserve"> (Habilitation to supervise PhD students)</w:t>
      </w:r>
      <w:r>
        <w:br/>
      </w:r>
      <w:r w:rsidRPr="000E1FE0">
        <w:t>Economics and quantitative finance</w:t>
      </w:r>
      <w:r w:rsidR="006C7764">
        <w:t xml:space="preserve"> </w:t>
      </w:r>
      <w:r w:rsidR="006C7764" w:rsidRPr="006C7764">
        <w:t>[q-fin]</w:t>
      </w:r>
      <w:r>
        <w:t xml:space="preserve">. Université de Lorraine. </w:t>
      </w:r>
      <w:r w:rsidR="00DE138E">
        <w:t>A</w:t>
      </w:r>
      <w:r>
        <w:t>ssocié à l’unité de recherche CEREFIGE.</w:t>
      </w:r>
    </w:p>
    <w:p w14:paraId="3F20D5EF" w14:textId="5BBA3758" w:rsidR="00A64262" w:rsidRPr="00331841" w:rsidRDefault="00A64262" w:rsidP="00A64262">
      <w:pPr>
        <w:pStyle w:val="normaltableau"/>
        <w:spacing w:line="288" w:lineRule="auto"/>
        <w:rPr>
          <w:szCs w:val="20"/>
        </w:rPr>
      </w:pPr>
      <w:r w:rsidRPr="00331841">
        <w:rPr>
          <w:szCs w:val="20"/>
        </w:rPr>
        <w:t xml:space="preserve">1989 </w:t>
      </w:r>
      <w:r>
        <w:rPr>
          <w:szCs w:val="20"/>
        </w:rPr>
        <w:t xml:space="preserve">- </w:t>
      </w:r>
      <w:r w:rsidRPr="00331841">
        <w:rPr>
          <w:szCs w:val="20"/>
        </w:rPr>
        <w:t xml:space="preserve">Doctorat en </w:t>
      </w:r>
      <w:r w:rsidR="00314142">
        <w:rPr>
          <w:szCs w:val="20"/>
        </w:rPr>
        <w:t>é</w:t>
      </w:r>
      <w:r w:rsidR="00314142" w:rsidRPr="00314142">
        <w:rPr>
          <w:szCs w:val="20"/>
        </w:rPr>
        <w:t>conomie mathématique et économétrie</w:t>
      </w:r>
      <w:r>
        <w:rPr>
          <w:szCs w:val="20"/>
        </w:rPr>
        <w:t>,</w:t>
      </w:r>
      <w:r w:rsidRPr="00331841">
        <w:rPr>
          <w:szCs w:val="20"/>
        </w:rPr>
        <w:t xml:space="preserve"> Université Paris X </w:t>
      </w:r>
      <w:r>
        <w:rPr>
          <w:szCs w:val="20"/>
        </w:rPr>
        <w:t xml:space="preserve">Nanterre, </w:t>
      </w:r>
      <w:r w:rsidRPr="00331841">
        <w:rPr>
          <w:szCs w:val="20"/>
        </w:rPr>
        <w:t xml:space="preserve">sous la direction du Professeur Raymond Courbis. Sujet de Thèse : « La formation des prix des métaux </w:t>
      </w:r>
      <w:r>
        <w:rPr>
          <w:szCs w:val="20"/>
        </w:rPr>
        <w:t>non ferreux</w:t>
      </w:r>
      <w:r w:rsidRPr="00331841">
        <w:rPr>
          <w:szCs w:val="20"/>
        </w:rPr>
        <w:t xml:space="preserve"> ».</w:t>
      </w:r>
    </w:p>
    <w:p w14:paraId="69BC195F" w14:textId="77777777" w:rsidR="00A64262" w:rsidRDefault="00A64262" w:rsidP="00A64262">
      <w:pPr>
        <w:pStyle w:val="normaltableau"/>
        <w:spacing w:line="288" w:lineRule="auto"/>
        <w:rPr>
          <w:szCs w:val="20"/>
        </w:rPr>
      </w:pPr>
      <w:r w:rsidRPr="00331841">
        <w:rPr>
          <w:szCs w:val="20"/>
        </w:rPr>
        <w:t xml:space="preserve">1984 </w:t>
      </w:r>
      <w:r>
        <w:rPr>
          <w:szCs w:val="20"/>
        </w:rPr>
        <w:t xml:space="preserve">- </w:t>
      </w:r>
      <w:r w:rsidRPr="00331841">
        <w:rPr>
          <w:szCs w:val="20"/>
        </w:rPr>
        <w:t>DESS : Evaluation et choix de projets d’investissements – Université Paris X.</w:t>
      </w:r>
    </w:p>
    <w:p w14:paraId="702652C3" w14:textId="77777777" w:rsidR="00A64262" w:rsidRDefault="00A64262" w:rsidP="00A64262">
      <w:pPr>
        <w:pStyle w:val="normaltableau"/>
        <w:spacing w:line="288" w:lineRule="auto"/>
        <w:rPr>
          <w:szCs w:val="20"/>
        </w:rPr>
      </w:pPr>
      <w:r>
        <w:rPr>
          <w:szCs w:val="20"/>
        </w:rPr>
        <w:t xml:space="preserve">1983 - Maitrise d’économétrie </w:t>
      </w:r>
      <w:r w:rsidRPr="00331841">
        <w:rPr>
          <w:szCs w:val="20"/>
        </w:rPr>
        <w:t>– Université Paris X.</w:t>
      </w:r>
    </w:p>
    <w:p w14:paraId="0941E958" w14:textId="77777777" w:rsidR="00A64262" w:rsidRPr="00E23CF0" w:rsidRDefault="00A64262" w:rsidP="00A64262">
      <w:pPr>
        <w:pStyle w:val="Titre2"/>
      </w:pPr>
      <w:bookmarkStart w:id="6" w:name="_Toc13747822"/>
      <w:bookmarkStart w:id="7" w:name="_Toc33460357"/>
      <w:r w:rsidRPr="00E23CF0">
        <w:t>Carrière professionnelle</w:t>
      </w:r>
      <w:bookmarkEnd w:id="6"/>
      <w:bookmarkEnd w:id="7"/>
    </w:p>
    <w:p w14:paraId="40A19B07" w14:textId="77777777" w:rsidR="00A64262" w:rsidRPr="00BF275F" w:rsidRDefault="00A64262" w:rsidP="00850E7A">
      <w:pPr>
        <w:pStyle w:val="Puce10"/>
      </w:pPr>
      <w:r w:rsidRPr="00BF275F">
        <w:t>2006-</w:t>
      </w:r>
      <w:r w:rsidR="00A17374">
        <w:t>Aujourd’hui</w:t>
      </w:r>
      <w:r>
        <w:t xml:space="preserve"> –</w:t>
      </w:r>
      <w:r w:rsidRPr="00BF275F">
        <w:t xml:space="preserve"> Harvest</w:t>
      </w:r>
      <w:r>
        <w:t xml:space="preserve"> SA</w:t>
      </w:r>
    </w:p>
    <w:p w14:paraId="12C52F04" w14:textId="065A5E60" w:rsidR="00A64262" w:rsidRDefault="00A64262" w:rsidP="00A64262">
      <w:pPr>
        <w:pStyle w:val="normaltableau"/>
        <w:spacing w:line="288" w:lineRule="auto"/>
        <w:rPr>
          <w:szCs w:val="20"/>
        </w:rPr>
      </w:pPr>
      <w:r>
        <w:rPr>
          <w:szCs w:val="20"/>
        </w:rPr>
        <w:t>Directeur</w:t>
      </w:r>
      <w:r w:rsidRPr="00BF275F">
        <w:rPr>
          <w:szCs w:val="20"/>
        </w:rPr>
        <w:t xml:space="preserve"> des études économiques et </w:t>
      </w:r>
      <w:r>
        <w:rPr>
          <w:szCs w:val="20"/>
        </w:rPr>
        <w:t>financières</w:t>
      </w:r>
      <w:r w:rsidR="00C30B4F">
        <w:rPr>
          <w:szCs w:val="20"/>
        </w:rPr>
        <w:t>,</w:t>
      </w:r>
      <w:r>
        <w:rPr>
          <w:szCs w:val="20"/>
        </w:rPr>
        <w:t xml:space="preserve"> </w:t>
      </w:r>
      <w:r w:rsidR="00C30B4F">
        <w:rPr>
          <w:szCs w:val="20"/>
        </w:rPr>
        <w:t>e</w:t>
      </w:r>
      <w:r w:rsidRPr="00BF275F">
        <w:rPr>
          <w:szCs w:val="20"/>
        </w:rPr>
        <w:t xml:space="preserve">n charge de l'encadrement des équipes de conception et d'exécution ainsi que des projets de </w:t>
      </w:r>
      <w:r>
        <w:rPr>
          <w:szCs w:val="20"/>
        </w:rPr>
        <w:t>R&amp;D dans les</w:t>
      </w:r>
      <w:r w:rsidRPr="00BF275F">
        <w:rPr>
          <w:szCs w:val="20"/>
        </w:rPr>
        <w:t xml:space="preserve"> domaines de la retraite et des choix de portefeuilles.</w:t>
      </w:r>
    </w:p>
    <w:p w14:paraId="31A96D44" w14:textId="77777777" w:rsidR="00A64262" w:rsidRDefault="00A64262" w:rsidP="00A64262">
      <w:pPr>
        <w:pStyle w:val="Puce10"/>
      </w:pPr>
      <w:r w:rsidRPr="00BF275F">
        <w:lastRenderedPageBreak/>
        <w:t>1993-2005 Quantix Finances</w:t>
      </w:r>
    </w:p>
    <w:p w14:paraId="4BD1A81D" w14:textId="77777777" w:rsidR="00A64262" w:rsidRDefault="00A64262" w:rsidP="00A64262">
      <w:pPr>
        <w:pStyle w:val="normaltableau"/>
        <w:spacing w:line="240" w:lineRule="auto"/>
        <w:rPr>
          <w:szCs w:val="20"/>
        </w:rPr>
      </w:pPr>
      <w:r w:rsidRPr="00BF275F">
        <w:rPr>
          <w:szCs w:val="20"/>
        </w:rPr>
        <w:t>Co-fondateur et Directeur technique</w:t>
      </w:r>
      <w:r>
        <w:rPr>
          <w:szCs w:val="20"/>
        </w:rPr>
        <w:t>.</w:t>
      </w:r>
    </w:p>
    <w:p w14:paraId="452B3547" w14:textId="77777777" w:rsidR="00A64262" w:rsidRDefault="00A64262" w:rsidP="00A64262">
      <w:pPr>
        <w:pStyle w:val="normaltableau"/>
        <w:spacing w:line="288" w:lineRule="auto"/>
        <w:rPr>
          <w:szCs w:val="20"/>
        </w:rPr>
      </w:pPr>
      <w:r w:rsidRPr="00E23CF0">
        <w:rPr>
          <w:szCs w:val="20"/>
        </w:rPr>
        <w:t>Responsable de l’ensemble des études et méthodes au sein de la société. En charge notamment de la conception et du développement d’une gamme de solutions d’aide à la décision commercialisée auprès des acteurs majeurs de la bancassurance</w:t>
      </w:r>
      <w:r>
        <w:rPr>
          <w:szCs w:val="20"/>
        </w:rPr>
        <w:t>.</w:t>
      </w:r>
    </w:p>
    <w:p w14:paraId="25A7CF58" w14:textId="77777777" w:rsidR="00A64262" w:rsidRDefault="00A64262" w:rsidP="00A64262">
      <w:pPr>
        <w:pStyle w:val="Puce10"/>
      </w:pPr>
      <w:r w:rsidRPr="00BF275F">
        <w:t xml:space="preserve">1988-1992 </w:t>
      </w:r>
      <w:r>
        <w:t xml:space="preserve">- </w:t>
      </w:r>
      <w:r w:rsidRPr="00BF275F">
        <w:t>Rexecode</w:t>
      </w:r>
    </w:p>
    <w:p w14:paraId="31CA21AF" w14:textId="77777777" w:rsidR="00A64262" w:rsidRDefault="00A64262" w:rsidP="00A64262">
      <w:pPr>
        <w:pStyle w:val="normaltableau"/>
        <w:spacing w:line="288" w:lineRule="auto"/>
        <w:rPr>
          <w:szCs w:val="20"/>
        </w:rPr>
      </w:pPr>
      <w:r>
        <w:t>Economiste spécialisé dans la modélisation démo-économique. En charge de la conjoncture et des prévisions économiques pour la France.</w:t>
      </w:r>
    </w:p>
    <w:p w14:paraId="327B11B0" w14:textId="77777777" w:rsidR="00A64262" w:rsidRPr="0038569E" w:rsidRDefault="00A64262" w:rsidP="00A64262">
      <w:pPr>
        <w:pStyle w:val="Puce10"/>
      </w:pPr>
      <w:r w:rsidRPr="0038569E">
        <w:t>Autres</w:t>
      </w:r>
    </w:p>
    <w:p w14:paraId="366261FB" w14:textId="77777777" w:rsidR="00A64262" w:rsidRDefault="00A64262" w:rsidP="00A64262">
      <w:pPr>
        <w:pStyle w:val="normaltableau"/>
        <w:spacing w:line="288" w:lineRule="auto"/>
        <w:rPr>
          <w:szCs w:val="20"/>
        </w:rPr>
      </w:pPr>
      <w:r w:rsidRPr="0038569E">
        <w:rPr>
          <w:szCs w:val="20"/>
        </w:rPr>
        <w:t>Champion de France d'escrime (fleuret) par équipe avec le Racing Club de France.</w:t>
      </w:r>
      <w:r>
        <w:rPr>
          <w:szCs w:val="20"/>
        </w:rPr>
        <w:t xml:space="preserve"> </w:t>
      </w:r>
      <w:r w:rsidRPr="0038569E">
        <w:rPr>
          <w:szCs w:val="20"/>
        </w:rPr>
        <w:t>Juin 1987</w:t>
      </w:r>
    </w:p>
    <w:p w14:paraId="7755BA3D" w14:textId="77777777" w:rsidR="00A64262" w:rsidRPr="00216A4F" w:rsidRDefault="00A64262" w:rsidP="00A64262">
      <w:pPr>
        <w:pStyle w:val="Titre2"/>
      </w:pPr>
      <w:bookmarkStart w:id="8" w:name="_Toc13747823"/>
      <w:bookmarkStart w:id="9" w:name="_Toc33460358"/>
      <w:r w:rsidRPr="00216A4F">
        <w:t>Encadrement de recherches</w:t>
      </w:r>
      <w:bookmarkEnd w:id="8"/>
      <w:bookmarkEnd w:id="9"/>
    </w:p>
    <w:p w14:paraId="21F2BEA4" w14:textId="3EA0DDA6" w:rsidR="00300195" w:rsidRPr="000037EF" w:rsidRDefault="00300195" w:rsidP="00300195">
      <w:pPr>
        <w:pStyle w:val="Puce3"/>
        <w:ind w:left="1066" w:hanging="357"/>
      </w:pPr>
      <w:r w:rsidRPr="000037EF">
        <w:t xml:space="preserve">Co-directeur </w:t>
      </w:r>
      <w:r w:rsidR="009C6112">
        <w:t xml:space="preserve">en 2023 </w:t>
      </w:r>
      <w:r w:rsidRPr="000037EF">
        <w:t xml:space="preserve">(avec Florence Legros) de la thèse </w:t>
      </w:r>
      <w:r>
        <w:t>d’Amelia Rusu</w:t>
      </w:r>
      <w:r w:rsidRPr="000037EF">
        <w:t> : « </w:t>
      </w:r>
      <w:r w:rsidRPr="00300195">
        <w:t>Comportements d'épargne et de couverture face au risque: le rôle central des préférences »</w:t>
      </w:r>
      <w:r w:rsidRPr="000037EF">
        <w:t xml:space="preserve">. Contrat « CIFRE » entre Harvest et l’Université </w:t>
      </w:r>
      <w:r>
        <w:t xml:space="preserve">de Lorraine, </w:t>
      </w:r>
      <w:r w:rsidRPr="00300195">
        <w:t>plus particulièrement, le Centre Européen de Recherche en Economie Financière et Gestion des Entreprises (CEREFIGE)</w:t>
      </w:r>
    </w:p>
    <w:p w14:paraId="2ED6B11E" w14:textId="55ABB9E8" w:rsidR="00A64262" w:rsidRPr="000037EF" w:rsidRDefault="00A64262" w:rsidP="00A17374">
      <w:pPr>
        <w:pStyle w:val="Puce3"/>
        <w:ind w:left="1066" w:hanging="357"/>
      </w:pPr>
      <w:r w:rsidRPr="000037EF">
        <w:t>Co-directeur (avec Florence Legros) et Responsable scientifique de la thèse de Yannick Pradat : « Retraite et risque financier » Soutenue à l’Université Paris Dauphine en 2017. Contrat « CIFRE » entre Harvest et l’Université Paris-Dauphine.</w:t>
      </w:r>
    </w:p>
    <w:p w14:paraId="7D55A895" w14:textId="77777777" w:rsidR="00A64262" w:rsidRDefault="00A64262" w:rsidP="00A17374">
      <w:pPr>
        <w:pStyle w:val="Puce3"/>
        <w:ind w:left="1066" w:hanging="357"/>
      </w:pPr>
      <w:r>
        <w:t xml:space="preserve">Rapporteur </w:t>
      </w:r>
      <w:r w:rsidRPr="008F7075">
        <w:t>dans le jury de thèse</w:t>
      </w:r>
      <w:r>
        <w:t xml:space="preserve"> de </w:t>
      </w:r>
      <w:r w:rsidRPr="004826AB">
        <w:t>Mabrouk Chetouane</w:t>
      </w:r>
      <w:r>
        <w:t xml:space="preserve"> : </w:t>
      </w:r>
      <w:r w:rsidRPr="004826AB">
        <w:t xml:space="preserve">« </w:t>
      </w:r>
      <w:r w:rsidRPr="00F3197A">
        <w:t>Strategic asset allocation for DC plan members</w:t>
      </w:r>
      <w:r w:rsidRPr="004826AB">
        <w:t xml:space="preserve"> »</w:t>
      </w:r>
      <w:r>
        <w:t>. Soutenue à l’</w:t>
      </w:r>
      <w:r w:rsidRPr="004826AB">
        <w:t>Université Paris Dauphine</w:t>
      </w:r>
      <w:r w:rsidRPr="00FD720F">
        <w:t xml:space="preserve"> </w:t>
      </w:r>
      <w:r>
        <w:t xml:space="preserve">en </w:t>
      </w:r>
      <w:r w:rsidRPr="00FD720F">
        <w:t>2011</w:t>
      </w:r>
      <w:r>
        <w:t>.</w:t>
      </w:r>
    </w:p>
    <w:p w14:paraId="5A31506B" w14:textId="77777777" w:rsidR="00A64262" w:rsidRPr="008F7075" w:rsidRDefault="00A64262" w:rsidP="00A17374">
      <w:pPr>
        <w:pStyle w:val="Puce3"/>
        <w:ind w:left="1066" w:hanging="357"/>
      </w:pPr>
      <w:r w:rsidRPr="008F7075">
        <w:t>Suffragant dans le jury de thèse</w:t>
      </w:r>
      <w:r>
        <w:t xml:space="preserve"> de </w:t>
      </w:r>
      <w:r w:rsidRPr="00195AD6">
        <w:t>Rakhsat El Hajj Hassan Sleiman</w:t>
      </w:r>
      <w:r>
        <w:t> : « </w:t>
      </w:r>
      <w:r w:rsidRPr="008F7075">
        <w:t>Conséquences du vieillissement démographique et des réformes des systèmes de retraites sur les flux de capitaux en Europe</w:t>
      </w:r>
      <w:r>
        <w:t> ». Soutenue à l’</w:t>
      </w:r>
      <w:r w:rsidRPr="004826AB">
        <w:t>Université Paris Dauphine</w:t>
      </w:r>
      <w:r w:rsidRPr="00FD720F">
        <w:t xml:space="preserve"> </w:t>
      </w:r>
      <w:r>
        <w:t xml:space="preserve">en </w:t>
      </w:r>
      <w:r w:rsidRPr="00FD720F">
        <w:t>20</w:t>
      </w:r>
      <w:r>
        <w:t>06.</w:t>
      </w:r>
    </w:p>
    <w:p w14:paraId="30E6EF1D" w14:textId="77777777" w:rsidR="00A64262" w:rsidRPr="0038569E" w:rsidRDefault="00A64262" w:rsidP="00A64262">
      <w:pPr>
        <w:pStyle w:val="Titre2"/>
      </w:pPr>
      <w:bookmarkStart w:id="10" w:name="_Toc13747824"/>
      <w:bookmarkStart w:id="11" w:name="_Toc33460359"/>
      <w:r w:rsidRPr="0038569E">
        <w:t>Liste de publications</w:t>
      </w:r>
      <w:bookmarkEnd w:id="10"/>
      <w:bookmarkEnd w:id="11"/>
    </w:p>
    <w:p w14:paraId="26700800" w14:textId="77777777" w:rsidR="00A64262" w:rsidRPr="008226AC" w:rsidRDefault="00A64262" w:rsidP="00A64262">
      <w:pPr>
        <w:pStyle w:val="Puce10"/>
      </w:pPr>
      <w:r w:rsidRPr="008226AC">
        <w:t>Livres Blancs</w:t>
      </w:r>
    </w:p>
    <w:p w14:paraId="32EFA106" w14:textId="77777777" w:rsidR="00A64262" w:rsidRPr="001F0FCB" w:rsidRDefault="00A64262" w:rsidP="00A64262">
      <w:pPr>
        <w:pStyle w:val="normaltableau"/>
      </w:pPr>
      <w:r w:rsidRPr="00D903F3">
        <w:rPr>
          <w:szCs w:val="20"/>
        </w:rPr>
        <w:t>Développement d’une expérience spécifique en matière de prospective et de modélisation des régimes de retraite au travers de contributions techniques à quatre « Livres Blancs » en France, au Portugal, en Slovénie et en Roumanie dans le cadre de programmes de la Communauté Euro</w:t>
      </w:r>
      <w:r>
        <w:rPr>
          <w:szCs w:val="20"/>
        </w:rPr>
        <w:t>péenne et de la Banque Mondiale :</w:t>
      </w:r>
    </w:p>
    <w:p w14:paraId="2E011F6C" w14:textId="77777777" w:rsidR="00A64262" w:rsidRPr="001F0FCB" w:rsidRDefault="00A64262" w:rsidP="00A17374">
      <w:pPr>
        <w:pStyle w:val="Puce3"/>
        <w:ind w:left="1066" w:hanging="357"/>
      </w:pPr>
      <w:r w:rsidRPr="001F0FCB">
        <w:lastRenderedPageBreak/>
        <w:t>« Cartea Alba : privind crearea unui sistem national de fonduri de pensii capitalizate, administrate privat », Livre Blanc sur les retraites en Roumanie. World Bank &amp; Ministère des Finances (1997-2000).</w:t>
      </w:r>
    </w:p>
    <w:p w14:paraId="7C1F4D92" w14:textId="77777777" w:rsidR="00A64262" w:rsidRPr="001F0FCB" w:rsidRDefault="00A64262" w:rsidP="00A17374">
      <w:pPr>
        <w:pStyle w:val="Puce3"/>
        <w:ind w:left="1066" w:hanging="357"/>
      </w:pPr>
      <w:r w:rsidRPr="001F0FCB">
        <w:t>« Reform of the Pension and Disability Insurance System » : Livre Blanc sur les retraites en Slovénie. Union Européenne &amp; Ministère des Affaires Sociales de la République de Slovénie (1996-1997).</w:t>
      </w:r>
    </w:p>
    <w:p w14:paraId="57EFC3FD" w14:textId="77777777" w:rsidR="00A64262" w:rsidRPr="001F0FCB" w:rsidRDefault="00A64262" w:rsidP="00A17374">
      <w:pPr>
        <w:pStyle w:val="Puce3"/>
        <w:ind w:left="1066" w:hanging="357"/>
      </w:pPr>
      <w:r w:rsidRPr="001F0FCB">
        <w:t>« Livro branco sobre o futuro das reformas em Portugal », Livre Blanc sur les retraites au Portugal. Assoçiacao Portuguesa de Seguradores (1993-1994).</w:t>
      </w:r>
    </w:p>
    <w:p w14:paraId="243E94C2" w14:textId="77777777" w:rsidR="00A64262" w:rsidRDefault="00A64262" w:rsidP="00A17374">
      <w:pPr>
        <w:pStyle w:val="Puce3"/>
        <w:ind w:left="1066" w:hanging="357"/>
      </w:pPr>
      <w:r w:rsidRPr="001F0FCB">
        <w:t>« Assurer l'avenir des retraites ». Livre Blanc sur les retraites en France. Fédération Française des Sociétés d’Assurances. Analyse technique et quantitative (FFSA 1991).</w:t>
      </w:r>
    </w:p>
    <w:p w14:paraId="0FDD93C5" w14:textId="77777777" w:rsidR="00A64262" w:rsidRPr="004410DF" w:rsidRDefault="00A64262" w:rsidP="00A64262">
      <w:pPr>
        <w:pStyle w:val="Puce10"/>
      </w:pPr>
      <w:r w:rsidRPr="004410DF">
        <w:t>Ouvrages</w:t>
      </w:r>
    </w:p>
    <w:p w14:paraId="427AB65F" w14:textId="77777777" w:rsidR="00A64262" w:rsidRDefault="00A64262" w:rsidP="00A17374">
      <w:pPr>
        <w:pStyle w:val="Puce3"/>
        <w:ind w:left="1066" w:hanging="357"/>
      </w:pPr>
      <w:r w:rsidRPr="004410DF">
        <w:t>Hamayon, S., Rouquès, M. (1997)</w:t>
      </w:r>
      <w:r>
        <w:t>,</w:t>
      </w:r>
      <w:r w:rsidRPr="004410DF">
        <w:t xml:space="preserve"> Le financement des systèmes de retraite spéciaux</w:t>
      </w:r>
      <w:r>
        <w:t xml:space="preserve"> : une approche internationale.</w:t>
      </w:r>
      <w:r w:rsidRPr="004410DF">
        <w:t xml:space="preserve"> Aspe Europe, Collection Prospective, Paris, 280 pages.</w:t>
      </w:r>
    </w:p>
    <w:p w14:paraId="78B33120" w14:textId="77777777" w:rsidR="00A64262" w:rsidRPr="00A322A3" w:rsidRDefault="00A64262" w:rsidP="00A64262">
      <w:pPr>
        <w:pStyle w:val="Puce10"/>
      </w:pPr>
      <w:r w:rsidRPr="00A322A3">
        <w:t>Ouvrages collectifs</w:t>
      </w:r>
    </w:p>
    <w:p w14:paraId="0D7097EE" w14:textId="77777777" w:rsidR="00B85AB5" w:rsidRPr="00B85AB5" w:rsidRDefault="00A64262" w:rsidP="00A17374">
      <w:pPr>
        <w:pStyle w:val="Puce3"/>
        <w:ind w:left="1066" w:hanging="357"/>
      </w:pPr>
      <w:r w:rsidRPr="001564A7">
        <w:t>Hamayon, S., Legros. F., Pradat. Y. (</w:t>
      </w:r>
      <w:r w:rsidR="00877A89">
        <w:t>2021</w:t>
      </w:r>
      <w:r w:rsidRPr="001564A7">
        <w:t>),</w:t>
      </w:r>
      <w:r>
        <w:t xml:space="preserve"> « </w:t>
      </w:r>
      <w:r w:rsidRPr="00A23EBF">
        <w:t>Epargne-retraite : pourquoi prendre des risques ?</w:t>
      </w:r>
      <w:r>
        <w:t> »</w:t>
      </w:r>
      <w:r w:rsidR="00DD5A32">
        <w:t xml:space="preserve"> C</w:t>
      </w:r>
      <w:r w:rsidR="00DD5A32" w:rsidRPr="00A17374">
        <w:t>hapitre 10</w:t>
      </w:r>
      <w:r w:rsidR="00B85AB5">
        <w:t>.</w:t>
      </w:r>
      <w:r>
        <w:t xml:space="preserve"> </w:t>
      </w:r>
      <w:r w:rsidR="00B85AB5" w:rsidRPr="00B85AB5">
        <w:t>Finance Banque Microfinance</w:t>
      </w:r>
      <w:r w:rsidR="00563344">
        <w:t xml:space="preserve"> </w:t>
      </w:r>
      <w:r w:rsidR="00B85AB5" w:rsidRPr="00B85AB5">
        <w:t>: Où Va La Richesse Créée?</w:t>
      </w:r>
      <w:r w:rsidR="00DD5A32">
        <w:t xml:space="preserve"> </w:t>
      </w:r>
      <w:r w:rsidR="00DD5A32" w:rsidRPr="00DD5A32">
        <w:t>Sous la direction de Chicot Eboue</w:t>
      </w:r>
      <w:r w:rsidR="00DD5A32">
        <w:t xml:space="preserve">. </w:t>
      </w:r>
      <w:r w:rsidR="00B85AB5">
        <w:t xml:space="preserve">Avril. </w:t>
      </w:r>
      <w:r w:rsidR="009C3DAD">
        <w:t>E</w:t>
      </w:r>
      <w:r w:rsidR="009C3DAD" w:rsidRPr="00B85AB5">
        <w:t>ditions</w:t>
      </w:r>
      <w:r w:rsidR="00B85AB5" w:rsidRPr="00B85AB5">
        <w:t xml:space="preserve"> Larcier-Bruylant</w:t>
      </w:r>
      <w:r w:rsidR="00B85AB5">
        <w:t>,</w:t>
      </w:r>
      <w:r w:rsidR="00B85AB5" w:rsidRPr="00B85AB5">
        <w:t xml:space="preserve"> Bruxelles</w:t>
      </w:r>
      <w:r w:rsidR="00DD5A32">
        <w:t>.</w:t>
      </w:r>
    </w:p>
    <w:p w14:paraId="33815051" w14:textId="77777777" w:rsidR="00A64262" w:rsidRDefault="00A64262" w:rsidP="00A17374">
      <w:pPr>
        <w:pStyle w:val="Puce3"/>
        <w:ind w:left="1066" w:hanging="357"/>
      </w:pPr>
      <w:r>
        <w:t>Hamayon, S. (2012), « Comment déterminer une allocation d'actifs conforme au profil de risque de l'épargnant ? », in Le conseil en gestion de patrimoine. Ed. Afnor.</w:t>
      </w:r>
    </w:p>
    <w:p w14:paraId="02F2F884" w14:textId="77777777" w:rsidR="00A64262" w:rsidRDefault="00A64262" w:rsidP="00A17374">
      <w:pPr>
        <w:pStyle w:val="Puce3"/>
        <w:ind w:left="1066" w:hanging="357"/>
      </w:pPr>
      <w:r w:rsidRPr="00A322A3">
        <w:t>Hamayon, S. (2007)</w:t>
      </w:r>
      <w:r>
        <w:t>,</w:t>
      </w:r>
      <w:r w:rsidRPr="00A322A3">
        <w:t xml:space="preserve"> « Perspectives du système de retraite français après la réforme Fillon »</w:t>
      </w:r>
      <w:r>
        <w:t>,</w:t>
      </w:r>
      <w:r w:rsidRPr="00A322A3">
        <w:t xml:space="preserve"> in Les Retraites, Libres opinions d'experts européens, sous la direction de Florence Legros, Economica, Paris.</w:t>
      </w:r>
    </w:p>
    <w:p w14:paraId="3E347F33" w14:textId="77777777" w:rsidR="00A64262" w:rsidRPr="00A322A3" w:rsidRDefault="00A64262" w:rsidP="00A17374">
      <w:pPr>
        <w:pStyle w:val="Puce3"/>
        <w:ind w:left="1066" w:hanging="357"/>
      </w:pPr>
      <w:r w:rsidRPr="00300195">
        <w:rPr>
          <w:lang w:val="en-US"/>
        </w:rPr>
        <w:t xml:space="preserve">Hamayon, S., and Legros, F. (2006), « Intergenerational and Economic Impacts of a Pension Reserve Fund: The French Case », in Reforming European pension systems. </w:t>
      </w:r>
      <w:r w:rsidRPr="00A322A3">
        <w:t>Amsterdam : Dutch University Press.</w:t>
      </w:r>
    </w:p>
    <w:p w14:paraId="7F00978D" w14:textId="77777777" w:rsidR="00A64262" w:rsidRDefault="00A64262" w:rsidP="00A17374">
      <w:pPr>
        <w:pStyle w:val="Puce3"/>
        <w:ind w:left="1066" w:hanging="357"/>
      </w:pPr>
      <w:r w:rsidRPr="00A322A3">
        <w:t>Hamayon, S. (2001)</w:t>
      </w:r>
      <w:r>
        <w:t>,</w:t>
      </w:r>
      <w:r w:rsidRPr="00A322A3">
        <w:t xml:space="preserve"> « Retraite et risque financier »</w:t>
      </w:r>
      <w:r>
        <w:t>,</w:t>
      </w:r>
      <w:r w:rsidRPr="00A322A3">
        <w:t xml:space="preserve"> in Politiques sociales et mondialisation de Bruno Palier et Louis-Charles Viossat. Editions Futuribles, novembre.</w:t>
      </w:r>
    </w:p>
    <w:p w14:paraId="54C2ECC4" w14:textId="77777777" w:rsidR="00A64262" w:rsidRDefault="00A64262" w:rsidP="00A17374">
      <w:pPr>
        <w:pStyle w:val="Puce3"/>
        <w:ind w:left="1066" w:hanging="357"/>
      </w:pPr>
      <w:r w:rsidRPr="00A322A3">
        <w:t>Hamayon, S., Legros, F., Sylvain, A. (2001)</w:t>
      </w:r>
      <w:r>
        <w:t>,</w:t>
      </w:r>
      <w:r w:rsidRPr="00A322A3">
        <w:t xml:space="preserve"> « Un bouclage macroéconomique avec croissance endogène : l’exemple du système de retraite français »</w:t>
      </w:r>
      <w:r>
        <w:t>,</w:t>
      </w:r>
      <w:r w:rsidRPr="00A322A3">
        <w:t xml:space="preserve"> Conseil National du Crédit et du Titre, Banque de France publications, juin.</w:t>
      </w:r>
    </w:p>
    <w:p w14:paraId="5501EE73" w14:textId="77777777" w:rsidR="00A64262" w:rsidRPr="007B74CC" w:rsidRDefault="00A64262" w:rsidP="00A17374">
      <w:pPr>
        <w:pStyle w:val="Puce3"/>
        <w:ind w:left="1066" w:hanging="357"/>
      </w:pPr>
      <w:r w:rsidRPr="00A17374">
        <w:lastRenderedPageBreak/>
        <w:t xml:space="preserve">Courjault, JC., Crevoisier, L., Hamayon, S., (2000), « Les grandes tendances prospectives de la consommation ». </w:t>
      </w:r>
      <w:r>
        <w:t xml:space="preserve">Etude réalisée pour la Direction Générale de l'Industrie, des Technologies de l'Information, du Ministère de l'Economie, des Finances et de l'Industrie. </w:t>
      </w:r>
      <w:r w:rsidRPr="00A17374">
        <w:t>CRÉDOC</w:t>
      </w:r>
      <w:r>
        <w:t xml:space="preserve"> Juin.</w:t>
      </w:r>
    </w:p>
    <w:p w14:paraId="4625840C" w14:textId="77777777" w:rsidR="00A64262" w:rsidRDefault="00A64262" w:rsidP="00A17374">
      <w:pPr>
        <w:pStyle w:val="Puce3"/>
        <w:ind w:left="1066" w:hanging="357"/>
      </w:pPr>
      <w:r w:rsidRPr="00A322A3">
        <w:t>Hamayon, S. (1995)</w:t>
      </w:r>
      <w:r>
        <w:t>,</w:t>
      </w:r>
      <w:r w:rsidRPr="00A322A3">
        <w:t xml:space="preserve"> </w:t>
      </w:r>
      <w:r>
        <w:t>« </w:t>
      </w:r>
      <w:r w:rsidRPr="00A322A3">
        <w:t>Perspectives du système de retraite</w:t>
      </w:r>
      <w:r>
        <w:t xml:space="preserve"> », in </w:t>
      </w:r>
      <w:r w:rsidRPr="00A322A3">
        <w:t>Les retr</w:t>
      </w:r>
      <w:r>
        <w:t>aites, Genèse, acteurs, enjeux</w:t>
      </w:r>
      <w:r w:rsidRPr="00A322A3">
        <w:t>. Armand Colin, Paris 1995.</w:t>
      </w:r>
    </w:p>
    <w:p w14:paraId="2847AB22" w14:textId="77777777" w:rsidR="00A64262" w:rsidRDefault="00A64262" w:rsidP="00A17374">
      <w:pPr>
        <w:pStyle w:val="Puce3"/>
        <w:ind w:left="1066" w:hanging="357"/>
      </w:pPr>
      <w:r w:rsidRPr="00A322A3">
        <w:t>Hamayon, S. (1993)</w:t>
      </w:r>
      <w:r>
        <w:t>,</w:t>
      </w:r>
      <w:r w:rsidRPr="00A322A3">
        <w:t xml:space="preserve"> Bilan de la France 1981-1993. Hachette Pluriel. Financement des retraites.</w:t>
      </w:r>
    </w:p>
    <w:p w14:paraId="607D0AF8" w14:textId="77777777" w:rsidR="00A64262" w:rsidRPr="00A322A3" w:rsidRDefault="00A64262" w:rsidP="00A64262">
      <w:pPr>
        <w:pStyle w:val="Puce10"/>
      </w:pPr>
      <w:r w:rsidRPr="00A322A3">
        <w:t>Articles de revue à comité de lecture</w:t>
      </w:r>
    </w:p>
    <w:p w14:paraId="381AC135" w14:textId="77777777" w:rsidR="008F2CA3" w:rsidRDefault="008F2CA3" w:rsidP="00A17374">
      <w:pPr>
        <w:pStyle w:val="Puce3"/>
        <w:ind w:left="1066" w:hanging="357"/>
      </w:pPr>
      <w:r w:rsidRPr="00A322A3">
        <w:t xml:space="preserve">Hamayon, S., Legros. F., Pradat. </w:t>
      </w:r>
      <w:r w:rsidRPr="008F2CA3">
        <w:t>Y. (20</w:t>
      </w:r>
      <w:r>
        <w:t>21</w:t>
      </w:r>
      <w:r w:rsidRPr="008F2CA3">
        <w:t>),</w:t>
      </w:r>
      <w:r w:rsidRPr="00A17374">
        <w:t xml:space="preserve"> </w:t>
      </w:r>
      <w:r w:rsidRPr="00F55AF0">
        <w:t xml:space="preserve">« Epargne retraite : stratégies d'allocation et dynamique des marchés financiers </w:t>
      </w:r>
      <w:r>
        <w:t>» in revue de l’OFCE n° 170 : Construire un système de retraite juste et soutenable –</w:t>
      </w:r>
      <w:r w:rsidR="000D6468">
        <w:t xml:space="preserve"> </w:t>
      </w:r>
      <w:r w:rsidR="00B85AB5">
        <w:t>Janvier</w:t>
      </w:r>
      <w:r>
        <w:t xml:space="preserve"> 2021.</w:t>
      </w:r>
    </w:p>
    <w:p w14:paraId="7572E46B" w14:textId="77777777" w:rsidR="00A64262" w:rsidRDefault="00A64262" w:rsidP="00A17374">
      <w:pPr>
        <w:pStyle w:val="Puce3"/>
        <w:ind w:left="1066" w:hanging="357"/>
      </w:pPr>
      <w:r w:rsidRPr="00A322A3">
        <w:t xml:space="preserve">Hamayon, S., Legros. F., Pradat. </w:t>
      </w:r>
      <w:r w:rsidRPr="00300195">
        <w:rPr>
          <w:lang w:val="en-US"/>
        </w:rPr>
        <w:t xml:space="preserve">Y. (2016), « Non Gaussian returns and pension funds asset allocation », Review of Accounting and Finance, Vol. 15 Iss 4 pp. 416 – 444. </w:t>
      </w:r>
      <w:r w:rsidRPr="00312E26">
        <w:t>[Academic Journal Guide 2018 : 2]</w:t>
      </w:r>
    </w:p>
    <w:p w14:paraId="53B1D8BA" w14:textId="77777777" w:rsidR="00A64262" w:rsidRDefault="00A64262" w:rsidP="00A17374">
      <w:pPr>
        <w:pStyle w:val="Puce3"/>
        <w:ind w:left="1066" w:hanging="357"/>
      </w:pPr>
      <w:r w:rsidRPr="00300195">
        <w:rPr>
          <w:lang w:val="en-US"/>
        </w:rPr>
        <w:t xml:space="preserve">Gannon, F., Hamayon, S., Legros, F., Touzé, V. (2014), « Sustainability of the french first pillar pension scheme (cnav) : assessing automatic balance mechanisms », Australian Journal of Actuarial Practice, Volume 2 ; November. </w:t>
      </w:r>
      <w:r w:rsidRPr="00854158">
        <w:t>[C ranked journal ABDC 2018]</w:t>
      </w:r>
    </w:p>
    <w:p w14:paraId="68D43B26" w14:textId="77777777" w:rsidR="00A64262" w:rsidRDefault="00A64262" w:rsidP="00A17374">
      <w:pPr>
        <w:pStyle w:val="Puce3"/>
        <w:ind w:left="1066" w:hanging="357"/>
      </w:pPr>
      <w:r w:rsidRPr="00A322A3">
        <w:t xml:space="preserve">Hamayon, S., Legros, F. (2014), </w:t>
      </w:r>
      <w:r>
        <w:t>« </w:t>
      </w:r>
      <w:r w:rsidRPr="00A322A3">
        <w:t>Réforme des retraites 2013 : la contribution implicite du pouvoir d'achat des retraités</w:t>
      </w:r>
      <w:r>
        <w:t> »</w:t>
      </w:r>
      <w:r w:rsidRPr="00A322A3">
        <w:t>, Revue de l'OFCE, no. 137.</w:t>
      </w:r>
      <w:r w:rsidRPr="00312E26">
        <w:t xml:space="preserve"> </w:t>
      </w:r>
      <w:r>
        <w:t>[Cnrs : 4]</w:t>
      </w:r>
    </w:p>
    <w:p w14:paraId="30EE0A01" w14:textId="77777777" w:rsidR="00A64262" w:rsidRDefault="00A64262" w:rsidP="00A17374">
      <w:pPr>
        <w:pStyle w:val="Puce3"/>
        <w:ind w:left="1066" w:hanging="357"/>
      </w:pPr>
      <w:r w:rsidRPr="00A322A3">
        <w:t>Hamayon, S., Legros, F. (2008)</w:t>
      </w:r>
      <w:r>
        <w:t>,</w:t>
      </w:r>
      <w:r w:rsidRPr="00A322A3">
        <w:t xml:space="preserve"> « La gestion stratégique d’actifs d’un fonds de réserve face au risque financier »</w:t>
      </w:r>
      <w:r>
        <w:t>,</w:t>
      </w:r>
      <w:r w:rsidRPr="00A322A3">
        <w:t xml:space="preserve"> Revue d'économie financière, juin n°s73-74.</w:t>
      </w:r>
      <w:r>
        <w:t xml:space="preserve"> [Cnrs : 4]</w:t>
      </w:r>
    </w:p>
    <w:p w14:paraId="3702A31A" w14:textId="77777777" w:rsidR="00A64262" w:rsidRPr="00A322A3" w:rsidRDefault="00A64262" w:rsidP="00A17374">
      <w:pPr>
        <w:pStyle w:val="Puce3"/>
        <w:ind w:left="1066" w:hanging="357"/>
      </w:pPr>
      <w:r w:rsidRPr="00300195">
        <w:rPr>
          <w:lang w:val="en-US"/>
        </w:rPr>
        <w:t xml:space="preserve">Hamayon, S., Legros, F. (2001), « Construction and Impact of a Buffer Fund within the French PAYG Pension Scheme in a Demo-Economic Model », CES Working Paper Series, August. </w:t>
      </w:r>
      <w:r>
        <w:t>[</w:t>
      </w:r>
      <w:r w:rsidRPr="001A7959">
        <w:t>CitEc</w:t>
      </w:r>
      <w:r>
        <w:t>,</w:t>
      </w:r>
      <w:r w:rsidRPr="001A7959">
        <w:t xml:space="preserve"> </w:t>
      </w:r>
      <w:r>
        <w:t xml:space="preserve">IF : </w:t>
      </w:r>
      <w:r w:rsidRPr="001A7959">
        <w:t>1.03</w:t>
      </w:r>
      <w:r>
        <w:t>]</w:t>
      </w:r>
    </w:p>
    <w:p w14:paraId="7B37F502" w14:textId="77777777" w:rsidR="00A64262" w:rsidRDefault="00A64262" w:rsidP="00A17374">
      <w:pPr>
        <w:pStyle w:val="Puce3"/>
        <w:ind w:left="1066" w:hanging="357"/>
      </w:pPr>
      <w:r w:rsidRPr="00A322A3">
        <w:t>Hamayon, S., Legros, F. (1999)</w:t>
      </w:r>
      <w:r>
        <w:t>,</w:t>
      </w:r>
      <w:r w:rsidRPr="00A322A3">
        <w:t xml:space="preserve"> « Transition des systèmes de retraite et mesure du risque des fonds capitalisés »</w:t>
      </w:r>
      <w:r>
        <w:t>,</w:t>
      </w:r>
      <w:r w:rsidRPr="00A322A3">
        <w:t xml:space="preserve"> Revue Economique, volume 50 numéro 6 novembre.</w:t>
      </w:r>
      <w:r>
        <w:t xml:space="preserve"> [Cnrs : 2]</w:t>
      </w:r>
    </w:p>
    <w:p w14:paraId="2CBF4264" w14:textId="77777777" w:rsidR="00A64262" w:rsidRPr="00A322A3" w:rsidRDefault="00A64262" w:rsidP="00A17374">
      <w:pPr>
        <w:pStyle w:val="Puce3"/>
        <w:ind w:left="1066" w:hanging="357"/>
      </w:pPr>
      <w:r w:rsidRPr="00A322A3">
        <w:t>Hamayon, S. (1997)</w:t>
      </w:r>
      <w:r>
        <w:t>,</w:t>
      </w:r>
      <w:r w:rsidRPr="00A322A3">
        <w:t xml:space="preserve"> «</w:t>
      </w:r>
      <w:r>
        <w:t xml:space="preserve"> </w:t>
      </w:r>
      <w:r w:rsidRPr="00A322A3">
        <w:t>Le financement des systèmes de retraite dans les entreprises publiques : une comparaison européenne</w:t>
      </w:r>
      <w:r>
        <w:t xml:space="preserve"> </w:t>
      </w:r>
      <w:r w:rsidRPr="00A322A3">
        <w:t>»</w:t>
      </w:r>
      <w:r>
        <w:t>,</w:t>
      </w:r>
      <w:r w:rsidRPr="00A322A3">
        <w:t xml:space="preserve"> Revue d'économie financière n°40-2.</w:t>
      </w:r>
      <w:r>
        <w:t xml:space="preserve"> [Cnrs : 4]</w:t>
      </w:r>
    </w:p>
    <w:p w14:paraId="53F7719F" w14:textId="77777777" w:rsidR="00A21198" w:rsidRDefault="00A21198">
      <w:pPr>
        <w:spacing w:before="240" w:after="144"/>
        <w:rPr>
          <w:b/>
          <w:i/>
          <w:sz w:val="24"/>
          <w:szCs w:val="24"/>
        </w:rPr>
      </w:pPr>
      <w:r>
        <w:br w:type="page"/>
      </w:r>
    </w:p>
    <w:p w14:paraId="4062C920" w14:textId="33BC2580" w:rsidR="00A64262" w:rsidRPr="001564A7" w:rsidRDefault="00A64262" w:rsidP="00A64262">
      <w:pPr>
        <w:pStyle w:val="Puce10"/>
      </w:pPr>
      <w:r w:rsidRPr="001564A7">
        <w:lastRenderedPageBreak/>
        <w:t>Autres publications</w:t>
      </w:r>
    </w:p>
    <w:p w14:paraId="76F7A813" w14:textId="6AB40726" w:rsidR="002775D6" w:rsidRDefault="00C6120F" w:rsidP="00C6120F">
      <w:pPr>
        <w:pStyle w:val="Puce3"/>
        <w:ind w:left="1066" w:hanging="357"/>
      </w:pPr>
      <w:r>
        <w:t>Hamayon, S. (2023) « Retraite : une brève revue des possibles ajustements du système français ». Revue Banque Nº881bis, Mai.</w:t>
      </w:r>
    </w:p>
    <w:p w14:paraId="28CA9F74" w14:textId="2C14AFBA" w:rsidR="001F06FD" w:rsidRPr="00A17374" w:rsidRDefault="002775D6" w:rsidP="00A17374">
      <w:pPr>
        <w:pStyle w:val="Puce3"/>
        <w:ind w:left="1066" w:hanging="357"/>
      </w:pPr>
      <w:r w:rsidRPr="001564A7">
        <w:t>Hamayon, S., Legros. F., Pradat. Y</w:t>
      </w:r>
      <w:r w:rsidR="001F06FD" w:rsidRPr="001F06FD">
        <w:t>.</w:t>
      </w:r>
      <w:r>
        <w:t xml:space="preserve"> (2021)</w:t>
      </w:r>
      <w:r w:rsidR="001F06FD" w:rsidRPr="001F06FD">
        <w:t xml:space="preserve"> </w:t>
      </w:r>
      <w:r w:rsidR="001F06FD">
        <w:t>« </w:t>
      </w:r>
      <w:r w:rsidR="001F06FD" w:rsidRPr="001F06FD">
        <w:t>Quel rendement attendre de l’épargne retraite</w:t>
      </w:r>
      <w:r w:rsidR="001F06FD">
        <w:t xml:space="preserve"> </w:t>
      </w:r>
      <w:r w:rsidR="001F06FD" w:rsidRPr="001F06FD">
        <w:t>pour pallier la baisse projetée des taux de remplacement en répartition ?</w:t>
      </w:r>
      <w:r w:rsidR="001F06FD">
        <w:t> »</w:t>
      </w:r>
      <w:r w:rsidR="001F06FD" w:rsidRPr="001F06FD">
        <w:t>.</w:t>
      </w:r>
      <w:r w:rsidR="001F06FD">
        <w:t xml:space="preserve"> </w:t>
      </w:r>
      <w:r w:rsidR="00BA10EF" w:rsidRPr="00BA10EF">
        <w:t>Publications du CEREFIGE</w:t>
      </w:r>
      <w:r w:rsidR="00BA10EF">
        <w:t xml:space="preserve"> </w:t>
      </w:r>
      <w:r w:rsidR="001F06FD" w:rsidRPr="001F06FD">
        <w:t>2021</w:t>
      </w:r>
      <w:r w:rsidR="001F06FD">
        <w:t>.</w:t>
      </w:r>
      <w:r w:rsidR="001F06FD" w:rsidRPr="001F06FD">
        <w:t xml:space="preserve"> </w:t>
      </w:r>
      <w:r w:rsidR="00BA10EF" w:rsidRPr="00BA10EF">
        <w:t>HAL Id: hal-03429170</w:t>
      </w:r>
      <w:r w:rsidR="001F06FD">
        <w:t xml:space="preserve">. </w:t>
      </w:r>
      <w:r w:rsidR="00BA10EF" w:rsidRPr="00A17374">
        <w:rPr>
          <w:color w:val="0000FF"/>
          <w:sz w:val="20"/>
          <w:szCs w:val="20"/>
          <w:u w:val="single"/>
        </w:rPr>
        <w:t>https://hal.archives-ouvertes.fr/hal-03429170v2</w:t>
      </w:r>
    </w:p>
    <w:p w14:paraId="0053DBEB" w14:textId="77777777" w:rsidR="00094320" w:rsidRDefault="00094320" w:rsidP="00A17374">
      <w:pPr>
        <w:pStyle w:val="Puce3"/>
        <w:ind w:left="1066" w:hanging="357"/>
      </w:pPr>
      <w:r w:rsidRPr="00094320">
        <w:t xml:space="preserve">« Les modèles démoéconomiques hybrides à deux classes d’agents comme outils d’analyse de l’équilibre des régimes de retraites ». Économie et finance quantitative. Université de Lorraine, 2020. </w:t>
      </w:r>
      <w:r w:rsidRPr="00A17374">
        <w:rPr>
          <w:color w:val="0000FF"/>
          <w:sz w:val="20"/>
          <w:szCs w:val="20"/>
          <w:u w:val="single"/>
        </w:rPr>
        <w:t>https://hal.archives-ouvertes.fr/tel-02490033/document</w:t>
      </w:r>
    </w:p>
    <w:p w14:paraId="2C287162" w14:textId="77777777" w:rsidR="00A64262" w:rsidRPr="00A17374" w:rsidRDefault="00A64262" w:rsidP="00883814">
      <w:pPr>
        <w:pStyle w:val="Puce3"/>
        <w:ind w:left="1066" w:hanging="357"/>
        <w:rPr>
          <w:color w:val="0000FF"/>
          <w:sz w:val="20"/>
          <w:szCs w:val="20"/>
          <w:u w:val="single"/>
        </w:rPr>
      </w:pPr>
      <w:r w:rsidRPr="001564A7">
        <w:t>Hamayon, S., Legros. F., Pradat. Y. (201</w:t>
      </w:r>
      <w:r>
        <w:t>9</w:t>
      </w:r>
      <w:r w:rsidRPr="001564A7">
        <w:t>)</w:t>
      </w:r>
      <w:r>
        <w:t xml:space="preserve">, « Epargne retraite : stratégies d'allocation et dynamique des marchés financiers », working paper présenté au </w:t>
      </w:r>
      <w:r w:rsidRPr="00A04E1B">
        <w:t>Colloque international sur la retraite et le vieillissement</w:t>
      </w:r>
      <w:r>
        <w:t xml:space="preserve">. </w:t>
      </w:r>
      <w:r w:rsidRPr="00C3639A">
        <w:t>Caisse des dépôts</w:t>
      </w:r>
      <w:r w:rsidR="00A17374">
        <w:t xml:space="preserve"> </w:t>
      </w:r>
      <w:r>
        <w:t>7-9 Novembre 2019</w:t>
      </w:r>
      <w:r w:rsidR="00A17374">
        <w:t>, Paris</w:t>
      </w:r>
      <w:r>
        <w:t>.</w:t>
      </w:r>
      <w:r w:rsidR="00A17374">
        <w:br/>
      </w:r>
      <w:hyperlink r:id="rId8" w:history="1">
        <w:r w:rsidR="00A17374" w:rsidRPr="00A17374">
          <w:rPr>
            <w:color w:val="0000FF"/>
            <w:sz w:val="20"/>
            <w:szCs w:val="20"/>
            <w:u w:val="single"/>
          </w:rPr>
          <w:t>https://evenium-site.com/uploads/event_member/148186/B2_1_Hamayon_Legros_Pradat.pdf</w:t>
        </w:r>
      </w:hyperlink>
    </w:p>
    <w:p w14:paraId="26927A1F" w14:textId="77777777" w:rsidR="00A64262" w:rsidRPr="00A17374" w:rsidRDefault="00A64262" w:rsidP="00A17374">
      <w:pPr>
        <w:pStyle w:val="Puce3"/>
        <w:ind w:left="1066" w:hanging="357"/>
      </w:pPr>
      <w:r w:rsidRPr="001564A7">
        <w:t>Hamayon, S.,</w:t>
      </w:r>
      <w:r>
        <w:t xml:space="preserve"> (2017), « Retraite et Présidentielle », Working Paper : </w:t>
      </w:r>
      <w:r w:rsidRPr="00883814">
        <w:rPr>
          <w:color w:val="0000FF"/>
          <w:sz w:val="20"/>
          <w:szCs w:val="20"/>
          <w:u w:val="single"/>
        </w:rPr>
        <w:t>www.harvest.fr/wp-content/uploads/2017/04/Harvest_avis_expert_retraite_et_presidentielle_2017.pdf</w:t>
      </w:r>
    </w:p>
    <w:p w14:paraId="5C63BDFE" w14:textId="77777777" w:rsidR="000630DD" w:rsidRPr="00883814" w:rsidRDefault="00A64262" w:rsidP="00A17374">
      <w:pPr>
        <w:pStyle w:val="Puce3"/>
        <w:ind w:left="1066" w:hanging="357"/>
        <w:rPr>
          <w:color w:val="0000FF"/>
          <w:sz w:val="20"/>
          <w:szCs w:val="20"/>
          <w:u w:val="single"/>
        </w:rPr>
      </w:pPr>
      <w:r w:rsidRPr="001564A7">
        <w:t xml:space="preserve">Hamayon, S., Legros. F., Pradat. Y. (2016), </w:t>
      </w:r>
      <w:r>
        <w:t>« </w:t>
      </w:r>
      <w:r w:rsidRPr="001564A7">
        <w:t>Distribution non gaussienne des rendements : quel impact sur les options par défaut des plans d’épargne retraite ?</w:t>
      </w:r>
      <w:r>
        <w:t> »,</w:t>
      </w:r>
      <w:r w:rsidRPr="001564A7">
        <w:t xml:space="preserve"> CEREFIGE Cahier de Recherche </w:t>
      </w:r>
      <w:r w:rsidR="00886C41">
        <w:t>HAL Id: hal-03003588</w:t>
      </w:r>
      <w:r w:rsidRPr="001564A7">
        <w:t>, Université de Lorraine.</w:t>
      </w:r>
      <w:r w:rsidR="00886C41">
        <w:t xml:space="preserve"> </w:t>
      </w:r>
      <w:r w:rsidR="00886C41" w:rsidRPr="00883814">
        <w:rPr>
          <w:color w:val="0000FF"/>
          <w:sz w:val="20"/>
          <w:szCs w:val="20"/>
          <w:u w:val="single"/>
        </w:rPr>
        <w:t>https://hal.archives-ouvertes.fr/hal-03003588</w:t>
      </w:r>
    </w:p>
    <w:p w14:paraId="797CA518" w14:textId="77777777" w:rsidR="00A64262" w:rsidRPr="001564A7" w:rsidRDefault="00A64262" w:rsidP="00A17374">
      <w:pPr>
        <w:pStyle w:val="Puce3"/>
        <w:ind w:left="1066" w:hanging="357"/>
      </w:pPr>
      <w:r w:rsidRPr="001564A7">
        <w:t>Hamayon, S. (2013) « Les actions, placement de cycle de vie ?»</w:t>
      </w:r>
      <w:r>
        <w:t>,</w:t>
      </w:r>
      <w:r w:rsidRPr="001564A7">
        <w:t xml:space="preserve"> Revue Banque &amp; AMAFI (Association française des marchés financiers), Juin.</w:t>
      </w:r>
    </w:p>
    <w:p w14:paraId="3DD6722B" w14:textId="77777777" w:rsidR="00A64262" w:rsidRPr="001564A7" w:rsidRDefault="00A64262" w:rsidP="00A17374">
      <w:pPr>
        <w:pStyle w:val="Puce3"/>
        <w:ind w:left="1066" w:hanging="357"/>
      </w:pPr>
      <w:r w:rsidRPr="001564A7">
        <w:t>Hamayon, S. (2011)</w:t>
      </w:r>
      <w:r>
        <w:t>,</w:t>
      </w:r>
      <w:r w:rsidRPr="001564A7">
        <w:t xml:space="preserve"> « La face cachée de la réforme des retraites »</w:t>
      </w:r>
      <w:r>
        <w:t>,</w:t>
      </w:r>
      <w:r w:rsidRPr="001564A7">
        <w:t xml:space="preserve"> Revue Banque &amp; Stratégie N° 292, mai.</w:t>
      </w:r>
    </w:p>
    <w:p w14:paraId="66E6BD8D" w14:textId="77777777" w:rsidR="00A64262" w:rsidRPr="001564A7" w:rsidRDefault="00A64262" w:rsidP="00A17374">
      <w:pPr>
        <w:pStyle w:val="Puce3"/>
        <w:ind w:left="1066" w:hanging="357"/>
      </w:pPr>
      <w:r w:rsidRPr="001564A7">
        <w:t>Hamayon, S. (2010)</w:t>
      </w:r>
      <w:r>
        <w:t>,</w:t>
      </w:r>
      <w:r w:rsidRPr="001564A7">
        <w:t xml:space="preserve"> « Les régimes spéciaux de retraite après la réforme »</w:t>
      </w:r>
      <w:r>
        <w:t>,</w:t>
      </w:r>
      <w:r w:rsidRPr="001564A7">
        <w:t xml:space="preserve"> Revue Futuribles n°365, juillet.</w:t>
      </w:r>
    </w:p>
    <w:p w14:paraId="3D02B393" w14:textId="77777777" w:rsidR="00A64262" w:rsidRPr="001564A7" w:rsidRDefault="00A64262" w:rsidP="00A17374">
      <w:pPr>
        <w:pStyle w:val="Puce3"/>
        <w:ind w:left="1066" w:hanging="357"/>
      </w:pPr>
      <w:r w:rsidRPr="001564A7">
        <w:t>Hamayon, S. (2008) « Réforme des retraites : les ajustements possibles à la lumière des expériences européennes »</w:t>
      </w:r>
      <w:r>
        <w:t>,</w:t>
      </w:r>
      <w:r w:rsidRPr="001564A7">
        <w:t xml:space="preserve"> Regards sur l'actualité n°344, la documentation française.</w:t>
      </w:r>
    </w:p>
    <w:p w14:paraId="2BAFD0B7" w14:textId="77777777" w:rsidR="00A64262" w:rsidRPr="001564A7" w:rsidRDefault="00A64262" w:rsidP="00A17374">
      <w:pPr>
        <w:pStyle w:val="Puce3"/>
        <w:ind w:left="1066" w:hanging="357"/>
      </w:pPr>
      <w:r w:rsidRPr="001564A7">
        <w:t>Hamayon, S. (2008)</w:t>
      </w:r>
      <w:r>
        <w:t>,</w:t>
      </w:r>
      <w:r w:rsidRPr="001564A7">
        <w:t xml:space="preserve"> « Devoir de conseil et mesure de l'aversion au risque de l’épargnant »</w:t>
      </w:r>
      <w:r>
        <w:t>,</w:t>
      </w:r>
      <w:r w:rsidRPr="001564A7">
        <w:t xml:space="preserve"> Banque Stratégie N°255 janvier.</w:t>
      </w:r>
    </w:p>
    <w:p w14:paraId="12E6CCCF" w14:textId="77777777" w:rsidR="00A64262" w:rsidRPr="001564A7" w:rsidRDefault="00A64262" w:rsidP="00A17374">
      <w:pPr>
        <w:pStyle w:val="Puce3"/>
        <w:ind w:left="1066" w:hanging="357"/>
      </w:pPr>
      <w:r w:rsidRPr="001564A7">
        <w:lastRenderedPageBreak/>
        <w:t>Hamayon, S. (2003)</w:t>
      </w:r>
      <w:r>
        <w:t>,</w:t>
      </w:r>
      <w:r w:rsidRPr="001564A7">
        <w:t xml:space="preserve"> « La réforme des retraites en France : avantages et limites des ajustements possibles »</w:t>
      </w:r>
      <w:r>
        <w:t>,</w:t>
      </w:r>
      <w:r w:rsidRPr="001564A7">
        <w:t xml:space="preserve"> Regards sur l'actualité n° 289, mars, la documentation Française.</w:t>
      </w:r>
    </w:p>
    <w:p w14:paraId="3B4BC9E3" w14:textId="77777777" w:rsidR="00A64262" w:rsidRPr="001564A7" w:rsidRDefault="00A64262" w:rsidP="00A17374">
      <w:pPr>
        <w:pStyle w:val="Puce3"/>
        <w:ind w:left="1066" w:hanging="357"/>
      </w:pPr>
      <w:r w:rsidRPr="001564A7">
        <w:t>Hamayon, S (2002)</w:t>
      </w:r>
      <w:r>
        <w:t>,</w:t>
      </w:r>
      <w:r w:rsidRPr="001564A7">
        <w:t xml:space="preserve"> « Réforme des retraites : quelles voies de rapprochement public-privé ?»</w:t>
      </w:r>
      <w:r>
        <w:t>,</w:t>
      </w:r>
      <w:r w:rsidRPr="001564A7">
        <w:t xml:space="preserve"> Actes du Colloque du 11 février, SENAT.</w:t>
      </w:r>
    </w:p>
    <w:p w14:paraId="658CD524" w14:textId="77777777" w:rsidR="00A64262" w:rsidRPr="001564A7" w:rsidRDefault="00A64262" w:rsidP="00A17374">
      <w:pPr>
        <w:pStyle w:val="Puce3"/>
        <w:ind w:left="1066" w:hanging="357"/>
      </w:pPr>
      <w:r w:rsidRPr="001564A7">
        <w:t>Hamayon, S (2000) « Audit du rapport Teulade »</w:t>
      </w:r>
      <w:r>
        <w:t>,</w:t>
      </w:r>
      <w:r w:rsidRPr="001564A7">
        <w:t xml:space="preserve"> (Conseil Economique et Social) pour le compte du MEDEF et de le FFSA février.</w:t>
      </w:r>
    </w:p>
    <w:p w14:paraId="66D9B173" w14:textId="77777777" w:rsidR="00A64262" w:rsidRPr="001564A7" w:rsidRDefault="00A64262" w:rsidP="00A17374">
      <w:pPr>
        <w:pStyle w:val="Puce3"/>
        <w:ind w:left="1066" w:hanging="357"/>
      </w:pPr>
      <w:r w:rsidRPr="00300195">
        <w:rPr>
          <w:lang w:val="en-US"/>
        </w:rPr>
        <w:t xml:space="preserve">De Menil, G., Hamayon S., Seitan, M. (1999), « Romania's Pension System : The Weight of the Past ». Center for Social and Economic Research (CASE), Working Paper n° 177. </w:t>
      </w:r>
      <w:r w:rsidRPr="001564A7">
        <w:t>Warsaw, Poland.</w:t>
      </w:r>
    </w:p>
    <w:p w14:paraId="48796DC8" w14:textId="77777777" w:rsidR="00A64262" w:rsidRPr="001564A7" w:rsidRDefault="00A64262" w:rsidP="00A17374">
      <w:pPr>
        <w:pStyle w:val="Puce3"/>
        <w:ind w:left="1066" w:hanging="357"/>
      </w:pPr>
      <w:r w:rsidRPr="001564A7">
        <w:t>Hamayon, S. (1999)</w:t>
      </w:r>
      <w:r>
        <w:t>,</w:t>
      </w:r>
      <w:r w:rsidRPr="001564A7">
        <w:t xml:space="preserve"> « Chiffrage des propositions du MEDEF en matière de réf</w:t>
      </w:r>
      <w:r>
        <w:t>orme des systèmes de retraite »,</w:t>
      </w:r>
      <w:r w:rsidRPr="001564A7">
        <w:t xml:space="preserve"> </w:t>
      </w:r>
      <w:r>
        <w:t xml:space="preserve">FFSA, </w:t>
      </w:r>
      <w:r w:rsidRPr="001564A7">
        <w:t>Avril.</w:t>
      </w:r>
    </w:p>
    <w:p w14:paraId="757565CC" w14:textId="77777777" w:rsidR="00A64262" w:rsidRPr="001564A7" w:rsidRDefault="00A64262" w:rsidP="00A17374">
      <w:pPr>
        <w:pStyle w:val="Puce3"/>
        <w:ind w:left="1066" w:hanging="357"/>
      </w:pPr>
      <w:r w:rsidRPr="001564A7">
        <w:t>Hamayon, S., Legros, F. (1998)</w:t>
      </w:r>
      <w:r>
        <w:t>,</w:t>
      </w:r>
      <w:r w:rsidRPr="001564A7">
        <w:t xml:space="preserve"> « La réforme des retraites roumaines », Lettre économique de la Caisse des dépôts.</w:t>
      </w:r>
    </w:p>
    <w:p w14:paraId="33CF42A3" w14:textId="77777777" w:rsidR="00A64262" w:rsidRPr="001564A7" w:rsidRDefault="00A64262" w:rsidP="00A17374">
      <w:pPr>
        <w:pStyle w:val="Puce3"/>
        <w:ind w:left="1066" w:hanging="357"/>
      </w:pPr>
      <w:r w:rsidRPr="001564A7">
        <w:t>Hamayon, S.</w:t>
      </w:r>
      <w:r>
        <w:t xml:space="preserve"> </w:t>
      </w:r>
      <w:r w:rsidRPr="001564A7">
        <w:t>(1994)</w:t>
      </w:r>
      <w:r>
        <w:t>,</w:t>
      </w:r>
      <w:r w:rsidRPr="001564A7">
        <w:t xml:space="preserve"> « Quelques réflexions sur la réforme des retraites »</w:t>
      </w:r>
      <w:r>
        <w:t>,</w:t>
      </w:r>
      <w:r w:rsidRPr="001564A7">
        <w:t xml:space="preserve"> Revue des Presses Universitaires de Perpignan</w:t>
      </w:r>
      <w:r>
        <w:t>, 63-78.</w:t>
      </w:r>
    </w:p>
    <w:p w14:paraId="313C470D" w14:textId="77777777" w:rsidR="00A64262" w:rsidRPr="001564A7" w:rsidRDefault="00A64262" w:rsidP="00A17374">
      <w:pPr>
        <w:pStyle w:val="Puce3"/>
        <w:ind w:left="1066" w:hanging="357"/>
      </w:pPr>
      <w:r w:rsidRPr="001564A7">
        <w:t>Hamayon, S. (1993)</w:t>
      </w:r>
      <w:r>
        <w:t>,</w:t>
      </w:r>
      <w:r w:rsidRPr="001564A7">
        <w:t xml:space="preserve"> « Régime de retraite en France : De l'opportunité de constituer des réserves »</w:t>
      </w:r>
      <w:r>
        <w:t>, Chroniques de la SEDEIS, n°3, mars, 137-142.</w:t>
      </w:r>
    </w:p>
    <w:p w14:paraId="707E7D69" w14:textId="77777777" w:rsidR="00A64262" w:rsidRPr="001564A7" w:rsidRDefault="00A64262" w:rsidP="00A17374">
      <w:pPr>
        <w:pStyle w:val="Puce3"/>
        <w:ind w:left="1066" w:hanging="357"/>
      </w:pPr>
      <w:r w:rsidRPr="001564A7">
        <w:t>Hamayon, S. (1992)</w:t>
      </w:r>
      <w:r>
        <w:t>,</w:t>
      </w:r>
      <w:r w:rsidRPr="001564A7">
        <w:t xml:space="preserve"> « Le rendement de la répartition »</w:t>
      </w:r>
      <w:r>
        <w:t>,</w:t>
      </w:r>
      <w:r w:rsidRPr="001564A7">
        <w:t xml:space="preserve"> Chroniques de la SEDEIS</w:t>
      </w:r>
      <w:r>
        <w:t>, n°7, juillet, 249-260.</w:t>
      </w:r>
    </w:p>
    <w:p w14:paraId="3F9E0E1F" w14:textId="77777777" w:rsidR="00A64262" w:rsidRPr="001564A7" w:rsidRDefault="00A64262" w:rsidP="00A17374">
      <w:pPr>
        <w:pStyle w:val="Puce3"/>
        <w:ind w:left="1066" w:hanging="357"/>
      </w:pPr>
      <w:r w:rsidRPr="001564A7">
        <w:t>Hamayon, S. (1991)</w:t>
      </w:r>
      <w:r>
        <w:t>,</w:t>
      </w:r>
      <w:r w:rsidRPr="001564A7">
        <w:t xml:space="preserve"> « L’équilibre des régimes de retraite complémentaire ». Chroniques de la SEDEIS, </w:t>
      </w:r>
      <w:r>
        <w:t>n°11, novembre, 403-418.</w:t>
      </w:r>
    </w:p>
    <w:p w14:paraId="2D90812C" w14:textId="77777777" w:rsidR="00A64262" w:rsidRDefault="00A64262" w:rsidP="00A17374">
      <w:pPr>
        <w:pStyle w:val="Puce3"/>
        <w:ind w:left="1066" w:hanging="357"/>
      </w:pPr>
      <w:r w:rsidRPr="001564A7">
        <w:t xml:space="preserve">Hamayon, S., (1991), </w:t>
      </w:r>
      <w:r>
        <w:t>« </w:t>
      </w:r>
      <w:r w:rsidRPr="001564A7">
        <w:t>Lecture critique du Livre blanc sur les retraites</w:t>
      </w:r>
      <w:r>
        <w:t> »</w:t>
      </w:r>
      <w:r w:rsidRPr="001564A7">
        <w:t xml:space="preserve">, Chroniques de la SEDEIS, n°9, </w:t>
      </w:r>
      <w:r>
        <w:t xml:space="preserve">septembre, </w:t>
      </w:r>
      <w:r w:rsidRPr="001564A7">
        <w:t>321-330.</w:t>
      </w:r>
    </w:p>
    <w:p w14:paraId="1BB83A85" w14:textId="77777777" w:rsidR="00A64262" w:rsidRPr="00FD040E" w:rsidRDefault="00A64262" w:rsidP="00A17374">
      <w:pPr>
        <w:pStyle w:val="Puce3"/>
        <w:ind w:left="1066" w:hanging="357"/>
      </w:pPr>
      <w:r w:rsidRPr="00FD040E">
        <w:t>Hamayon, S. (1991), « Régimes de retraite : Perspectives », Revue Risques n°5 : Age et assurance, Avril.</w:t>
      </w:r>
    </w:p>
    <w:p w14:paraId="05A9C960" w14:textId="77777777" w:rsidR="00A64262" w:rsidRPr="001564A7" w:rsidRDefault="00A64262" w:rsidP="00A17374">
      <w:pPr>
        <w:pStyle w:val="Puce3"/>
        <w:ind w:left="1066" w:hanging="357"/>
      </w:pPr>
      <w:r w:rsidRPr="001564A7">
        <w:t>Fontaine, C</w:t>
      </w:r>
      <w:r>
        <w:t>.,</w:t>
      </w:r>
      <w:r w:rsidRPr="001564A7">
        <w:t xml:space="preserve"> Hamayon, S. (1990) « Perspectives des régimes de retraite par répartition : Clarification pour un débat »</w:t>
      </w:r>
      <w:r>
        <w:t>,</w:t>
      </w:r>
      <w:r w:rsidRPr="001564A7">
        <w:t xml:space="preserve"> Chroniques d'actualité de la SEDEIS</w:t>
      </w:r>
      <w:r>
        <w:t>, n°9, septembre.</w:t>
      </w:r>
    </w:p>
    <w:p w14:paraId="5D9F1F2C" w14:textId="77777777" w:rsidR="00A64262" w:rsidRDefault="00A64262" w:rsidP="00A17374">
      <w:pPr>
        <w:pStyle w:val="Puce3"/>
        <w:ind w:left="1066" w:hanging="357"/>
      </w:pPr>
      <w:r w:rsidRPr="001564A7">
        <w:t>Hamayon, S., Plassard, J. (1989) « Eclairage sur l'avenir des retraites en France »</w:t>
      </w:r>
      <w:r>
        <w:t>,</w:t>
      </w:r>
      <w:r w:rsidRPr="001564A7">
        <w:t xml:space="preserve"> Revue Banque n°499, Novembre.</w:t>
      </w:r>
    </w:p>
    <w:p w14:paraId="3C7BB6C6" w14:textId="77777777" w:rsidR="00A64262" w:rsidRDefault="00A64262" w:rsidP="00A64262">
      <w:pPr>
        <w:pStyle w:val="Puce10"/>
      </w:pPr>
      <w:r w:rsidRPr="00963C2A">
        <w:lastRenderedPageBreak/>
        <w:t>Mimeo</w:t>
      </w:r>
      <w:r>
        <w:t xml:space="preserve"> (travaux non publiés)</w:t>
      </w:r>
    </w:p>
    <w:p w14:paraId="711F90F6" w14:textId="77777777" w:rsidR="00A64262" w:rsidRDefault="00A64262" w:rsidP="00883814">
      <w:pPr>
        <w:pStyle w:val="Puce3"/>
        <w:ind w:left="1066" w:hanging="357"/>
      </w:pPr>
      <w:r w:rsidRPr="00300195">
        <w:rPr>
          <w:lang w:val="en-US"/>
        </w:rPr>
        <w:t xml:space="preserve">Hamayon, S. (1999), « Implicit debt under new public law conditions », Pro Democratia Foundation. </w:t>
      </w:r>
      <w:r w:rsidRPr="007442BB">
        <w:t>Unpublished manuscript</w:t>
      </w:r>
      <w:r>
        <w:t xml:space="preserve">, </w:t>
      </w:r>
      <w:r w:rsidRPr="007442BB">
        <w:t>Bucharest</w:t>
      </w:r>
      <w:r>
        <w:t>.</w:t>
      </w:r>
    </w:p>
    <w:p w14:paraId="63090EB2" w14:textId="77777777" w:rsidR="00A64262" w:rsidRPr="007442BB" w:rsidRDefault="00A64262" w:rsidP="00883814">
      <w:pPr>
        <w:pStyle w:val="Puce3"/>
        <w:ind w:left="1066" w:hanging="357"/>
      </w:pPr>
      <w:r w:rsidRPr="00300195">
        <w:rPr>
          <w:lang w:val="en-US"/>
        </w:rPr>
        <w:t xml:space="preserve">Hamayon, S. (1998), « Estimates of the probability costs of pension fund guarantees », Pro Democratia Foundation. </w:t>
      </w:r>
      <w:r w:rsidRPr="007442BB">
        <w:t>Unpublished manuscript</w:t>
      </w:r>
      <w:r>
        <w:t xml:space="preserve">, </w:t>
      </w:r>
      <w:r w:rsidRPr="007442BB">
        <w:t>Bucharest</w:t>
      </w:r>
      <w:r>
        <w:t>.</w:t>
      </w:r>
    </w:p>
    <w:p w14:paraId="6D85C111" w14:textId="77777777" w:rsidR="00A64262" w:rsidRPr="00300195" w:rsidRDefault="00A64262" w:rsidP="00883814">
      <w:pPr>
        <w:pStyle w:val="Puce3"/>
        <w:ind w:left="1066" w:hanging="357"/>
        <w:rPr>
          <w:lang w:val="en-US"/>
        </w:rPr>
      </w:pPr>
      <w:r w:rsidRPr="00300195">
        <w:rPr>
          <w:lang w:val="en-US"/>
        </w:rPr>
        <w:t>Hamayon S., Rouques M. (1998), « P2SP, Pension Scheme Simulation Program », Pro Democratia Foundation manuscript, Bucharest.</w:t>
      </w:r>
    </w:p>
    <w:p w14:paraId="3F4C936D" w14:textId="77777777" w:rsidR="00A64262" w:rsidRDefault="00A64262" w:rsidP="00883814">
      <w:pPr>
        <w:pStyle w:val="Puce3"/>
        <w:ind w:left="1066" w:hanging="357"/>
      </w:pPr>
      <w:r w:rsidRPr="00300195">
        <w:rPr>
          <w:lang w:val="en-US"/>
        </w:rPr>
        <w:t xml:space="preserve">Hamayon, S., and Legros, F. (1998), « A Simulation model of pension reform in Romania », Pro Democratia Foundation. </w:t>
      </w:r>
      <w:r w:rsidRPr="007442BB">
        <w:t>Unpublished manuscript</w:t>
      </w:r>
      <w:r>
        <w:t xml:space="preserve">, </w:t>
      </w:r>
      <w:r w:rsidRPr="007442BB">
        <w:t>Bucharest</w:t>
      </w:r>
      <w:r>
        <w:t>.</w:t>
      </w:r>
    </w:p>
    <w:p w14:paraId="77C085F3" w14:textId="77777777" w:rsidR="00A64262" w:rsidRDefault="00A64262" w:rsidP="00A64262">
      <w:pPr>
        <w:pStyle w:val="Puce10"/>
      </w:pPr>
      <w:r w:rsidRPr="00BD2B62">
        <w:t>Principaux colloques</w:t>
      </w:r>
    </w:p>
    <w:p w14:paraId="3035BC57" w14:textId="5F729D0C" w:rsidR="00BB18F0" w:rsidRDefault="00BB18F0" w:rsidP="00BB18F0">
      <w:pPr>
        <w:pStyle w:val="Puce3"/>
        <w:ind w:left="1066" w:hanging="357"/>
      </w:pPr>
      <w:r w:rsidRPr="00BB18F0">
        <w:rPr>
          <w:lang w:val="en-US"/>
        </w:rPr>
        <w:t>Chaire People Leadership d’ICN Creactive Funds</w:t>
      </w:r>
      <w:r w:rsidRPr="00BB18F0">
        <w:rPr>
          <w:lang w:val="en-US"/>
        </w:rPr>
        <w:t xml:space="preserve">. </w:t>
      </w:r>
      <w:r>
        <w:t>« </w:t>
      </w:r>
      <w:r>
        <w:t xml:space="preserve"> Les épargnants français et le risque : que nous dit la recherche contemporaine ?</w:t>
      </w:r>
      <w:r>
        <w:t> »</w:t>
      </w:r>
      <w:r>
        <w:t xml:space="preserve"> </w:t>
      </w:r>
      <w:r>
        <w:t>v</w:t>
      </w:r>
      <w:r>
        <w:t>endredi 14 février 2025 au Palais Brongniart.</w:t>
      </w:r>
    </w:p>
    <w:p w14:paraId="2FDFB4D0" w14:textId="49D29F4A" w:rsidR="005C4AFD" w:rsidRPr="00CD1A80" w:rsidRDefault="005C4AFD" w:rsidP="00CD1A80">
      <w:pPr>
        <w:pStyle w:val="Puce3"/>
        <w:ind w:left="1066" w:hanging="357"/>
      </w:pPr>
      <w:r w:rsidRPr="00CD1A80">
        <w:t>Journée d'Etudes du CEREFIGE, Axe Finance Comptabilité Contrôle. Université de Lorraine. « L’Impact de la Crise sanitaire sur l’Epargne-Retraite », vendredi 17 Septembre 2021.</w:t>
      </w:r>
    </w:p>
    <w:p w14:paraId="34285B04" w14:textId="77777777" w:rsidR="00316512" w:rsidRDefault="00316512" w:rsidP="00883814">
      <w:pPr>
        <w:pStyle w:val="Puce3"/>
        <w:ind w:left="1066" w:hanging="357"/>
      </w:pPr>
      <w:r w:rsidRPr="00316512">
        <w:t>Centre d’Economie de la Sorbonne, Programme Politiques Publiques</w:t>
      </w:r>
      <w:r>
        <w:t xml:space="preserve">. </w:t>
      </w:r>
      <w:r w:rsidRPr="00316512">
        <w:t xml:space="preserve">Finances, Banques, Où Va La Richesse créée ? </w:t>
      </w:r>
      <w:r>
        <w:t>« </w:t>
      </w:r>
      <w:r w:rsidRPr="00316512">
        <w:t>La réforme des retraites : capitalisation versus répartition : que coûte le délai de mise en œuvre dû au Covid 19 ?</w:t>
      </w:r>
      <w:r>
        <w:t> »</w:t>
      </w:r>
      <w:r w:rsidRPr="00316512">
        <w:t xml:space="preserve"> Mardi 01 juin 2021</w:t>
      </w:r>
    </w:p>
    <w:p w14:paraId="0B387EED" w14:textId="77777777" w:rsidR="00A64262" w:rsidRDefault="00A64262" w:rsidP="00883814">
      <w:pPr>
        <w:pStyle w:val="Puce3"/>
        <w:ind w:left="1066" w:hanging="357"/>
      </w:pPr>
      <w:r>
        <w:t xml:space="preserve">Colloque international sur la retraite et le vieillissement. </w:t>
      </w:r>
      <w:r w:rsidRPr="00BD2B62">
        <w:t>Caisse des Dépôts</w:t>
      </w:r>
      <w:r>
        <w:t>. 7-8 Novembre 2019. Paris.</w:t>
      </w:r>
    </w:p>
    <w:p w14:paraId="1169EEBE" w14:textId="77777777" w:rsidR="00A64262" w:rsidRDefault="00A64262" w:rsidP="00883814">
      <w:pPr>
        <w:pStyle w:val="Puce3"/>
        <w:ind w:left="1066" w:hanging="357"/>
      </w:pPr>
      <w:r w:rsidRPr="00437D9C">
        <w:t>L’actualité de la finance, Actes II</w:t>
      </w:r>
      <w:r>
        <w:t xml:space="preserve">. Colloque international, </w:t>
      </w:r>
      <w:r w:rsidRPr="00CE37EB">
        <w:t xml:space="preserve">CEREFIGE et Faculté de Droit, Sciences économiques et Gestion </w:t>
      </w:r>
      <w:r>
        <w:t>de l’Université de Lorraine, 9-10 Mai 2019.</w:t>
      </w:r>
    </w:p>
    <w:p w14:paraId="27F89BAF" w14:textId="77777777" w:rsidR="00A64262" w:rsidRPr="00BD2B62" w:rsidRDefault="00A64262" w:rsidP="00883814">
      <w:pPr>
        <w:pStyle w:val="Puce3"/>
        <w:ind w:left="1066" w:hanging="357"/>
      </w:pPr>
      <w:r w:rsidRPr="00BD2B62">
        <w:t>Réformer les retraites : le projet français au regard des expériences étrangères. Paris Vendredi 29 mars 2019. Sciences Po - OFCE, EDEHN (Université du Havre) ; ICN-Business School.</w:t>
      </w:r>
    </w:p>
    <w:p w14:paraId="077945F2" w14:textId="77777777" w:rsidR="00A64262" w:rsidRPr="00BD2B62" w:rsidRDefault="00A64262" w:rsidP="00883814">
      <w:pPr>
        <w:pStyle w:val="Puce3"/>
        <w:ind w:left="1066" w:hanging="357"/>
      </w:pPr>
      <w:r w:rsidRPr="00BD2B62">
        <w:t>Conférence Conseil &amp; Education financière, Harvest et Paris School of Economics</w:t>
      </w:r>
      <w:r>
        <w:t xml:space="preserve">, </w:t>
      </w:r>
      <w:r w:rsidRPr="00BD2B62">
        <w:t>7 octobre 2016 Paris.</w:t>
      </w:r>
    </w:p>
    <w:p w14:paraId="527CFF53" w14:textId="77777777" w:rsidR="00A64262" w:rsidRPr="00BD2B62" w:rsidRDefault="00A64262" w:rsidP="00883814">
      <w:pPr>
        <w:pStyle w:val="Puce3"/>
        <w:ind w:left="1066" w:hanging="357"/>
      </w:pPr>
      <w:r w:rsidRPr="00BD2B62">
        <w:lastRenderedPageBreak/>
        <w:t>Peut-on mesurer l'aversion au risque ? Séminaire organisé par l'Université Paris-Dauphine, l'Ecole Dauphine Assurance, l'Ecole d'Economie de Paris. Université Paris-Dauphine, 19 juin 2015 Paris.</w:t>
      </w:r>
    </w:p>
    <w:p w14:paraId="205BE5A7" w14:textId="77777777" w:rsidR="00A64262" w:rsidRPr="00BD2B62" w:rsidRDefault="00A64262" w:rsidP="00883814">
      <w:pPr>
        <w:pStyle w:val="Puce3"/>
        <w:ind w:left="1066" w:hanging="357"/>
      </w:pPr>
      <w:r w:rsidRPr="00BD2B62">
        <w:t>Allocation de l'épargne et investissement de long terme, Matinale scientifique de l'Institut Louis Bachelier, Palais Brongniart, 2 décembre 2014 Paris.</w:t>
      </w:r>
    </w:p>
    <w:p w14:paraId="0085EAA0" w14:textId="77777777" w:rsidR="00A64262" w:rsidRPr="00BD2B62" w:rsidRDefault="00A64262" w:rsidP="00883814">
      <w:pPr>
        <w:pStyle w:val="Puce3"/>
        <w:ind w:left="1066" w:hanging="357"/>
      </w:pPr>
      <w:r w:rsidRPr="00BD2B62">
        <w:t>Intervention au 10ème Forum des auteurs, Revue BANQUE réalisé en partenariat avec l'AMAFI (association des marchés financiers) sur le thème de l'Epargne longue et financement des retraites. Paris 1er Juillet 2013.</w:t>
      </w:r>
    </w:p>
    <w:p w14:paraId="2C869D05" w14:textId="77777777" w:rsidR="00A64262" w:rsidRPr="00300195" w:rsidRDefault="00A64262" w:rsidP="00883814">
      <w:pPr>
        <w:pStyle w:val="Puce3"/>
        <w:ind w:left="1066" w:hanging="357"/>
        <w:rPr>
          <w:lang w:val="en-US"/>
        </w:rPr>
      </w:pPr>
      <w:r w:rsidRPr="00BD2B62">
        <w:t xml:space="preserve">Séminaire scientifique de la CDC, Bordeaux, 15 novembre 2012. </w:t>
      </w:r>
      <w:r w:rsidRPr="00300195">
        <w:rPr>
          <w:lang w:val="en-US"/>
        </w:rPr>
        <w:t>Working Paper : « Non Gaussian returns : which impact on default options retirement plans ? ». By Stephane Hamayon (Harvest), Florence Legros (Université Paris Dauphine) and Yannick Pradat (Harvest).</w:t>
      </w:r>
    </w:p>
    <w:p w14:paraId="434298B1" w14:textId="77777777" w:rsidR="00A64262" w:rsidRPr="00BD2B62" w:rsidRDefault="00A64262" w:rsidP="00883814">
      <w:pPr>
        <w:pStyle w:val="Puce3"/>
        <w:ind w:left="1066" w:hanging="357"/>
      </w:pPr>
      <w:r w:rsidRPr="00BD2B62">
        <w:t xml:space="preserve">Les actions, placement de cycle de vie ? Intervention au Colloque académique organisé à l'occasion des 25 ans de </w:t>
      </w:r>
      <w:r>
        <w:t>« Gestion du patrimoine »</w:t>
      </w:r>
      <w:r w:rsidRPr="00BD2B62">
        <w:t xml:space="preserve"> à l'Université d'Auvergne le 19 octobre 2012 à Clermont Ferrand.</w:t>
      </w:r>
    </w:p>
    <w:p w14:paraId="6CE89567" w14:textId="77777777" w:rsidR="00A64262" w:rsidRPr="00BD2B62" w:rsidRDefault="00A64262" w:rsidP="00883814">
      <w:pPr>
        <w:pStyle w:val="Puce3"/>
        <w:ind w:left="1066" w:hanging="357"/>
      </w:pPr>
      <w:r w:rsidRPr="00BD2B62">
        <w:t xml:space="preserve">Séminaire scientifique de la CDC, Bordeaux jeudi 31 mars 2011. Présidence de la session </w:t>
      </w:r>
      <w:r>
        <w:t>« </w:t>
      </w:r>
      <w:r w:rsidRPr="00BD2B62">
        <w:t>Retirement</w:t>
      </w:r>
      <w:r>
        <w:t xml:space="preserve"> and microsimulations »</w:t>
      </w:r>
      <w:r w:rsidRPr="00BD2B62">
        <w:t>.</w:t>
      </w:r>
    </w:p>
    <w:p w14:paraId="31B88382" w14:textId="77777777" w:rsidR="00A64262" w:rsidRPr="00BD2B62" w:rsidRDefault="00A64262" w:rsidP="00883814">
      <w:pPr>
        <w:pStyle w:val="Puce3"/>
        <w:ind w:left="1066" w:hanging="357"/>
      </w:pPr>
      <w:r w:rsidRPr="00BD2B62">
        <w:t>Forum Retraite de la Caisse des Dépôts Retraite. Bordeaux, 30 mars 2010 : Crise financière et retraites.</w:t>
      </w:r>
    </w:p>
    <w:p w14:paraId="0E99EC12" w14:textId="77777777" w:rsidR="00A64262" w:rsidRPr="00BD2B62" w:rsidRDefault="00A64262" w:rsidP="00883814">
      <w:pPr>
        <w:pStyle w:val="Puce3"/>
        <w:ind w:left="1066" w:hanging="357"/>
      </w:pPr>
      <w:r w:rsidRPr="00BD2B62">
        <w:t>Forum Retraite de la Caisse des Dépôts Retraite. Bordeaux, 26 octobre 2007 : libres opinions d'experts européens.</w:t>
      </w:r>
    </w:p>
    <w:p w14:paraId="420219D9" w14:textId="77777777" w:rsidR="00A64262" w:rsidRPr="00BD2B62" w:rsidRDefault="00A64262" w:rsidP="00883814">
      <w:pPr>
        <w:pStyle w:val="Puce3"/>
        <w:ind w:left="1066" w:hanging="357"/>
      </w:pPr>
      <w:r w:rsidRPr="00BD2B62">
        <w:t>Colloque du 40e anniversaire de la Caisse Nationale d'Assurance Vieillesse, 11 octobre 2007 : Réforme des retraites, plaidoyer pour une discrimination positive entre salariés.</w:t>
      </w:r>
    </w:p>
    <w:p w14:paraId="65A67338" w14:textId="77777777" w:rsidR="00A64262" w:rsidRPr="00BD2B62" w:rsidRDefault="00A64262" w:rsidP="00883814">
      <w:pPr>
        <w:pStyle w:val="Puce3"/>
        <w:ind w:left="1066" w:hanging="357"/>
      </w:pPr>
      <w:r w:rsidRPr="00BD2B62">
        <w:t>Colloque de 'Institut des actuaires - SACEI. Deauville, 16 septembre 2005 : La réforme des retraites, deux ans après.</w:t>
      </w:r>
    </w:p>
    <w:p w14:paraId="3D9F1FEF" w14:textId="77777777" w:rsidR="00A64262" w:rsidRPr="00BD2B62" w:rsidRDefault="00A64262" w:rsidP="00883814">
      <w:pPr>
        <w:pStyle w:val="Puce3"/>
        <w:ind w:left="1066" w:hanging="357"/>
      </w:pPr>
      <w:r w:rsidRPr="00BD2B62">
        <w:t>Colloque Paris IX Dauphine, Paris 29 juin 2005 : Les retraites, Agir ou Subir ?</w:t>
      </w:r>
    </w:p>
    <w:p w14:paraId="1C98DF94" w14:textId="77777777" w:rsidR="00A64262" w:rsidRPr="00BD2B62" w:rsidRDefault="00A64262" w:rsidP="00883814">
      <w:pPr>
        <w:pStyle w:val="Puce3"/>
        <w:ind w:left="1066" w:hanging="357"/>
      </w:pPr>
      <w:r w:rsidRPr="00BD2B62">
        <w:t>Institut de la Banque Mondiale, Paris, juillet 2004 : Options de Réforme des Pensions pour l'Afrique francophone.</w:t>
      </w:r>
    </w:p>
    <w:p w14:paraId="2FC5FCBF" w14:textId="77777777" w:rsidR="00A64262" w:rsidRPr="00BD2B62" w:rsidRDefault="00A64262" w:rsidP="00883814">
      <w:pPr>
        <w:pStyle w:val="Puce3"/>
        <w:ind w:left="1066" w:hanging="357"/>
      </w:pPr>
      <w:r w:rsidRPr="00BD2B62">
        <w:lastRenderedPageBreak/>
        <w:t>Club CEPII (Centre français d'étude et de recherche en économie internationale), Paris 22 avril 2003 : Les conséquences du vieillissement sur les régimes de retraite. A. Jousten (Univ. Liège), S. Hamayon (Quantix), J.-C. Willard (AGIRC-ARRCO).</w:t>
      </w:r>
    </w:p>
    <w:p w14:paraId="597DE5E8" w14:textId="77777777" w:rsidR="00A64262" w:rsidRPr="00BD2B62" w:rsidRDefault="00A64262" w:rsidP="00883814">
      <w:pPr>
        <w:pStyle w:val="Puce3"/>
        <w:ind w:left="1066" w:hanging="357"/>
      </w:pPr>
      <w:r w:rsidRPr="00BD2B62">
        <w:t>Colloque SENAT. Paris ; 11 février 2002 : Réforme des retraites : quelles voies de rapprochement public-privé ?</w:t>
      </w:r>
    </w:p>
    <w:p w14:paraId="4DE9C9CD" w14:textId="77777777" w:rsidR="00A64262" w:rsidRPr="00BD2B62" w:rsidRDefault="00A64262" w:rsidP="00883814">
      <w:pPr>
        <w:pStyle w:val="Puce3"/>
        <w:ind w:left="1066" w:hanging="357"/>
      </w:pPr>
      <w:r w:rsidRPr="00300195">
        <w:rPr>
          <w:lang w:val="en-US"/>
        </w:rPr>
        <w:t xml:space="preserve">Workshop on the Pension System, Kardinal Wendel Haus, Munich, 2-3 May 2001 : Settlement and Impact of a Reserve Fund within the French PAYG Scheme in a Demoeconnomic Model. </w:t>
      </w:r>
      <w:r w:rsidRPr="00BD2B62">
        <w:t>By Stephane Hamayon and Florence Legros</w:t>
      </w:r>
    </w:p>
    <w:p w14:paraId="1CEF931E" w14:textId="77777777" w:rsidR="00A64262" w:rsidRPr="00BD2B62" w:rsidRDefault="00A64262" w:rsidP="00883814">
      <w:pPr>
        <w:pStyle w:val="Puce3"/>
        <w:ind w:left="1066" w:hanging="357"/>
      </w:pPr>
      <w:r w:rsidRPr="00BD2B62">
        <w:t>Conférence Sciences Po/Banque Mondiale, Paris, Avril 2000 : Réformer les politiques sociales à l'heure de la mondialisation.</w:t>
      </w:r>
    </w:p>
    <w:p w14:paraId="2DEBB0FA" w14:textId="77777777" w:rsidR="00A64262" w:rsidRPr="00BD2B62" w:rsidRDefault="00A64262" w:rsidP="00883814">
      <w:pPr>
        <w:pStyle w:val="Puce3"/>
        <w:ind w:left="1066" w:hanging="357"/>
      </w:pPr>
      <w:r w:rsidRPr="00300195">
        <w:rPr>
          <w:lang w:val="en-US"/>
        </w:rPr>
        <w:t xml:space="preserve">OECD 2000 Private Pensions Conference ? Organisation for Economic Cooperation and Development. </w:t>
      </w:r>
      <w:r w:rsidRPr="00BD2B62">
        <w:t>Prague, April 6, 2000. S. Hamayon, G. de Menil, E. Sheshinski.</w:t>
      </w:r>
    </w:p>
    <w:p w14:paraId="45F140CF" w14:textId="77777777" w:rsidR="00A64262" w:rsidRPr="00BD2B62" w:rsidRDefault="00A64262" w:rsidP="00883814">
      <w:pPr>
        <w:pStyle w:val="Puce3"/>
        <w:ind w:left="1066" w:hanging="357"/>
      </w:pPr>
      <w:r w:rsidRPr="00BD2B62">
        <w:t xml:space="preserve">Séminaire scientifique du Forum Retraite de la Caisse des Dépôts </w:t>
      </w:r>
      <w:r>
        <w:t>« </w:t>
      </w:r>
      <w:r w:rsidRPr="00BD2B62">
        <w:t>Retraite et soci</w:t>
      </w:r>
      <w:r>
        <w:t>été : défis pour le 21e siècle »</w:t>
      </w:r>
      <w:r w:rsidRPr="00BD2B62">
        <w:t>. Bordeaux, 17 mars 2000. Hamayon, S., Florence Legros, F., et Sylvain, A. "Modélisation a long-terme des retraites : un bouclage macroéconomique avec croissance endogène dans le cas français".</w:t>
      </w:r>
    </w:p>
    <w:p w14:paraId="535024CF" w14:textId="77777777" w:rsidR="00A64262" w:rsidRPr="00BD2B62" w:rsidRDefault="00A64262" w:rsidP="00883814">
      <w:pPr>
        <w:pStyle w:val="Puce3"/>
        <w:ind w:left="1066" w:hanging="357"/>
      </w:pPr>
      <w:r w:rsidRPr="00300195">
        <w:rPr>
          <w:lang w:val="en-US"/>
        </w:rPr>
        <w:t xml:space="preserve">Romania's Pension System : The Weight of the Past. Paper presented for CASE Workshop, « The Medium and Long-term Perspectives of Fiscal Adjustment of Selected Central European Countries », Warsaw, June 12. </w:t>
      </w:r>
      <w:r w:rsidRPr="00BD2B62">
        <w:t>1999. De Menil, G., Hamayon S., Seitan, M</w:t>
      </w:r>
      <w:r>
        <w:t>.</w:t>
      </w:r>
    </w:p>
    <w:p w14:paraId="44A0EA59" w14:textId="77777777" w:rsidR="00A64262" w:rsidRPr="00BD2B62" w:rsidRDefault="00A64262" w:rsidP="00883814">
      <w:pPr>
        <w:pStyle w:val="Puce3"/>
        <w:ind w:left="1066" w:hanging="357"/>
      </w:pPr>
      <w:r w:rsidRPr="00BD2B62">
        <w:t>Forum Retraite de la Caisse des Dépôts Retraite. Bordeaux, 19 mars 1999 : Retraites : l'impératif du long terme.</w:t>
      </w:r>
    </w:p>
    <w:p w14:paraId="6C4B274E" w14:textId="77777777" w:rsidR="00A64262" w:rsidRPr="00BD2B62" w:rsidRDefault="00A64262" w:rsidP="00883814">
      <w:pPr>
        <w:pStyle w:val="Puce3"/>
        <w:ind w:left="1066" w:hanging="357"/>
      </w:pPr>
      <w:r w:rsidRPr="00BD2B62">
        <w:t xml:space="preserve">Colloque international CEFI, Prague 15-16 septembre 1998 : L'intégration des pays d'Europe centrale dans l'Union européenne, </w:t>
      </w:r>
      <w:r>
        <w:t>« </w:t>
      </w:r>
      <w:r w:rsidRPr="00BD2B62">
        <w:t>Transition des systèmes de retraite et mesure d</w:t>
      </w:r>
      <w:r>
        <w:t>u risque d'un fonds capitalisé »</w:t>
      </w:r>
      <w:r w:rsidRPr="00BD2B62">
        <w:t>.</w:t>
      </w:r>
    </w:p>
    <w:p w14:paraId="1A2FC669" w14:textId="77777777" w:rsidR="00A64262" w:rsidRPr="00300195" w:rsidRDefault="00A64262" w:rsidP="00883814">
      <w:pPr>
        <w:pStyle w:val="Puce3"/>
        <w:ind w:left="1066" w:hanging="357"/>
        <w:rPr>
          <w:lang w:val="en-US"/>
        </w:rPr>
      </w:pPr>
      <w:r w:rsidRPr="00300195">
        <w:rPr>
          <w:lang w:val="en-US"/>
        </w:rPr>
        <w:t>Policy Workshop East-West Institute, Bucharest January 1998 : The Need for Pension reform in Romania, Bucharest.</w:t>
      </w:r>
    </w:p>
    <w:p w14:paraId="35DB735A" w14:textId="77777777" w:rsidR="00A64262" w:rsidRPr="00BD2B62" w:rsidRDefault="00A64262" w:rsidP="00883814">
      <w:pPr>
        <w:pStyle w:val="Puce3"/>
        <w:ind w:left="1066" w:hanging="357"/>
      </w:pPr>
      <w:r w:rsidRPr="00BD2B62">
        <w:t>Forum Retraite de la Caisse des Dépôts Retraite. Bordeaux, 26 mars 1994 : Le chercheur, le gestionnaire et l'avenir.</w:t>
      </w:r>
    </w:p>
    <w:p w14:paraId="3EE508EE" w14:textId="77777777" w:rsidR="00A64262" w:rsidRPr="00883814" w:rsidRDefault="00A64262" w:rsidP="00883814">
      <w:pPr>
        <w:pStyle w:val="Puce3"/>
        <w:ind w:left="1066" w:hanging="357"/>
      </w:pPr>
      <w:r w:rsidRPr="00BD2B62">
        <w:t>Forum Retraite de la Caisse des Dépôts Retraite. Bordeaux, 11 mars 1992 Agir ensemble pour l'avenir.</w:t>
      </w:r>
    </w:p>
    <w:sectPr w:rsidR="00A64262" w:rsidRPr="00883814" w:rsidSect="00A356BC">
      <w:headerReference w:type="even" r:id="rId9"/>
      <w:headerReference w:type="default" r:id="rId10"/>
      <w:footerReference w:type="even" r:id="rId11"/>
      <w:footerReference w:type="default" r:id="rId12"/>
      <w:headerReference w:type="first" r:id="rId13"/>
      <w:footerReference w:type="first" r:id="rId14"/>
      <w:pgSz w:w="11906" w:h="16838" w:code="9"/>
      <w:pgMar w:top="1134" w:right="851" w:bottom="1418" w:left="851" w:header="0" w:footer="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2E901B" w14:textId="77777777" w:rsidR="00323B15" w:rsidRDefault="00323B15" w:rsidP="000752A0">
      <w:pPr>
        <w:spacing w:before="240" w:after="144"/>
      </w:pPr>
      <w:r>
        <w:separator/>
      </w:r>
    </w:p>
  </w:endnote>
  <w:endnote w:type="continuationSeparator" w:id="0">
    <w:p w14:paraId="6F433436" w14:textId="77777777" w:rsidR="00323B15" w:rsidRDefault="00323B15" w:rsidP="000752A0">
      <w:pPr>
        <w:spacing w:before="240" w:after="144"/>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8503DD" w14:textId="77777777" w:rsidR="00E71C9A" w:rsidRDefault="00E71C9A">
    <w:pPr>
      <w:pStyle w:val="Pieddepage"/>
      <w:spacing w:before="240" w:after="14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86037355"/>
      <w:docPartObj>
        <w:docPartGallery w:val="Page Numbers (Bottom of Page)"/>
        <w:docPartUnique/>
      </w:docPartObj>
    </w:sdtPr>
    <w:sdtContent>
      <w:p w14:paraId="35AB816A" w14:textId="09533573" w:rsidR="004B5B98" w:rsidRDefault="004B5B98">
        <w:pPr>
          <w:pStyle w:val="Pieddepage"/>
          <w:spacing w:before="240" w:after="144"/>
          <w:jc w:val="right"/>
        </w:pPr>
        <w:r>
          <w:fldChar w:fldCharType="begin"/>
        </w:r>
        <w:r>
          <w:instrText>PAGE   \* MERGEFORMAT</w:instrText>
        </w:r>
        <w:r>
          <w:fldChar w:fldCharType="separate"/>
        </w:r>
        <w:r>
          <w:t>2</w:t>
        </w:r>
        <w:r>
          <w:fldChar w:fldCharType="end"/>
        </w:r>
      </w:p>
    </w:sdtContent>
  </w:sdt>
  <w:p w14:paraId="67EBC47D" w14:textId="77777777" w:rsidR="00E71C9A" w:rsidRDefault="00E71C9A">
    <w:pPr>
      <w:pStyle w:val="Pieddepage"/>
      <w:spacing w:before="240" w:after="14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DF4090" w14:textId="77777777" w:rsidR="000630DD" w:rsidRPr="00A356BC" w:rsidRDefault="000630DD" w:rsidP="000752A0">
    <w:pPr>
      <w:pStyle w:val="Pieddepage"/>
      <w:spacing w:before="240" w:after="14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9DD49A" w14:textId="77777777" w:rsidR="00323B15" w:rsidRDefault="00323B15" w:rsidP="000752A0">
      <w:pPr>
        <w:spacing w:before="240" w:after="144"/>
      </w:pPr>
      <w:r>
        <w:separator/>
      </w:r>
    </w:p>
  </w:footnote>
  <w:footnote w:type="continuationSeparator" w:id="0">
    <w:p w14:paraId="70AF9CD7" w14:textId="77777777" w:rsidR="00323B15" w:rsidRDefault="00323B15" w:rsidP="000752A0">
      <w:pPr>
        <w:spacing w:before="240" w:after="144"/>
      </w:pPr>
      <w:r>
        <w:continuationSeparator/>
      </w:r>
    </w:p>
  </w:footnote>
  <w:footnote w:id="1">
    <w:p w14:paraId="2653C0CC" w14:textId="77777777" w:rsidR="000F44A2" w:rsidRPr="000F44A2" w:rsidRDefault="000F44A2" w:rsidP="000F44A2">
      <w:pPr>
        <w:spacing w:beforeLines="0" w:before="0" w:afterLines="0" w:after="0" w:line="240" w:lineRule="auto"/>
        <w:rPr>
          <w:sz w:val="18"/>
          <w:szCs w:val="18"/>
        </w:rPr>
      </w:pPr>
      <w:r>
        <w:rPr>
          <w:rStyle w:val="Appelnotedebasdep"/>
        </w:rPr>
        <w:footnoteRef/>
      </w:r>
      <w:r>
        <w:t xml:space="preserve"> </w:t>
      </w:r>
      <w:r>
        <w:rPr>
          <w:sz w:val="18"/>
          <w:szCs w:val="18"/>
        </w:rPr>
        <w:t>Jury HDR :</w:t>
      </w:r>
    </w:p>
    <w:p w14:paraId="7618170A" w14:textId="77777777" w:rsidR="000F44A2" w:rsidRPr="000F44A2" w:rsidRDefault="000F44A2" w:rsidP="000F44A2">
      <w:pPr>
        <w:spacing w:beforeLines="0" w:before="0" w:afterLines="0" w:after="0" w:line="240" w:lineRule="auto"/>
        <w:rPr>
          <w:sz w:val="18"/>
          <w:szCs w:val="18"/>
        </w:rPr>
      </w:pPr>
      <w:r w:rsidRPr="000F44A2">
        <w:rPr>
          <w:sz w:val="18"/>
          <w:szCs w:val="18"/>
        </w:rPr>
        <w:t>Florence LEGROS, Professeure de sciences économiques, Ancien recteur d’académie, Directrice générale ICN Business School</w:t>
      </w:r>
    </w:p>
    <w:p w14:paraId="1538DF09" w14:textId="77777777" w:rsidR="000F44A2" w:rsidRPr="000F44A2" w:rsidRDefault="000F44A2" w:rsidP="000F44A2">
      <w:pPr>
        <w:spacing w:beforeLines="0" w:before="0" w:afterLines="0" w:after="0" w:line="240" w:lineRule="auto"/>
        <w:rPr>
          <w:sz w:val="18"/>
          <w:szCs w:val="18"/>
        </w:rPr>
      </w:pPr>
      <w:r w:rsidRPr="000F44A2">
        <w:rPr>
          <w:sz w:val="18"/>
          <w:szCs w:val="18"/>
        </w:rPr>
        <w:t>Myriam DORIAT-DUBAN, Professeure de sciences économiques, Directrice du pôle scientifique SJPEG, Université de Lorraine.</w:t>
      </w:r>
    </w:p>
    <w:p w14:paraId="41D10E3F" w14:textId="77777777" w:rsidR="000F44A2" w:rsidRPr="000F44A2" w:rsidRDefault="000F44A2" w:rsidP="000F44A2">
      <w:pPr>
        <w:spacing w:beforeLines="0" w:before="0" w:afterLines="0" w:after="0" w:line="240" w:lineRule="auto"/>
        <w:rPr>
          <w:sz w:val="18"/>
          <w:szCs w:val="18"/>
        </w:rPr>
      </w:pPr>
      <w:r w:rsidRPr="000F44A2">
        <w:rPr>
          <w:sz w:val="18"/>
          <w:szCs w:val="18"/>
        </w:rPr>
        <w:t>Olivier DAMETTE, Professeur de sciences économiques, BETA, Université de Lorraine</w:t>
      </w:r>
    </w:p>
    <w:p w14:paraId="0C1C66A6" w14:textId="77777777" w:rsidR="000F44A2" w:rsidRPr="000F44A2" w:rsidRDefault="000F44A2" w:rsidP="000F44A2">
      <w:pPr>
        <w:spacing w:beforeLines="0" w:before="0" w:afterLines="0" w:after="0" w:line="240" w:lineRule="auto"/>
        <w:rPr>
          <w:sz w:val="18"/>
          <w:szCs w:val="18"/>
        </w:rPr>
      </w:pPr>
      <w:r w:rsidRPr="000F44A2">
        <w:rPr>
          <w:sz w:val="18"/>
          <w:szCs w:val="18"/>
        </w:rPr>
        <w:t>Anne LAVIGNE, Professeure de sciences économiques, responsable des études au COR</w:t>
      </w:r>
    </w:p>
    <w:p w14:paraId="389AA707" w14:textId="77777777" w:rsidR="000F44A2" w:rsidRPr="000F44A2" w:rsidRDefault="000F44A2" w:rsidP="000F44A2">
      <w:pPr>
        <w:spacing w:beforeLines="0" w:before="0" w:afterLines="0" w:after="0" w:line="240" w:lineRule="auto"/>
        <w:rPr>
          <w:sz w:val="18"/>
          <w:szCs w:val="18"/>
        </w:rPr>
      </w:pPr>
      <w:r w:rsidRPr="000F44A2">
        <w:rPr>
          <w:sz w:val="18"/>
          <w:szCs w:val="18"/>
        </w:rPr>
        <w:t>Luc ARRONDEL, Professeur associé à PSE, Directeur de recherche CNRS</w:t>
      </w:r>
    </w:p>
    <w:p w14:paraId="20067E47" w14:textId="77777777" w:rsidR="000F44A2" w:rsidRDefault="000F44A2" w:rsidP="000F44A2">
      <w:pPr>
        <w:pStyle w:val="Notedebasdepage"/>
        <w:spacing w:beforeLines="0" w:afterLines="0" w:line="240" w:lineRule="auto"/>
      </w:pPr>
      <w:r w:rsidRPr="000F44A2">
        <w:rPr>
          <w:sz w:val="18"/>
          <w:szCs w:val="18"/>
        </w:rPr>
        <w:t>Didier BLANCHET, Directeur études et synthèses économiques INSEE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36F224" w14:textId="77777777" w:rsidR="00E71C9A" w:rsidRDefault="00E71C9A">
    <w:pPr>
      <w:pStyle w:val="En-tte"/>
      <w:spacing w:before="240" w:after="14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E9647F" w14:textId="77777777" w:rsidR="00E71C9A" w:rsidRDefault="00E71C9A">
    <w:pPr>
      <w:pStyle w:val="En-tte"/>
      <w:spacing w:before="240" w:after="14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C05F71" w14:textId="77777777" w:rsidR="000630DD" w:rsidRPr="00A44E7D" w:rsidRDefault="000630DD" w:rsidP="000752A0">
    <w:pPr>
      <w:spacing w:before="240" w:after="14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3BF365B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819290862" o:spid="_x0000_i1025" type="#_x0000_t75" style="width:11.4pt;height:16.8pt;visibility:visible;mso-wrap-style:square">
            <v:imagedata r:id="rId1" o:title=""/>
          </v:shape>
        </w:pict>
      </mc:Choice>
      <mc:Fallback>
        <w:drawing>
          <wp:inline distT="0" distB="0" distL="0" distR="0" wp14:anchorId="7E7FDEE1" wp14:editId="0A964B36">
            <wp:extent cx="144780" cy="213360"/>
            <wp:effectExtent l="0" t="0" r="0" b="0"/>
            <wp:docPr id="819290862" name="Image 819290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4780" cy="213360"/>
                    </a:xfrm>
                    <a:prstGeom prst="rect">
                      <a:avLst/>
                    </a:prstGeom>
                    <a:noFill/>
                    <a:ln>
                      <a:noFill/>
                    </a:ln>
                  </pic:spPr>
                </pic:pic>
              </a:graphicData>
            </a:graphic>
          </wp:inline>
        </w:drawing>
      </mc:Fallback>
    </mc:AlternateContent>
  </w:numPicBullet>
  <w:numPicBullet w:numPicBulletId="1">
    <mc:AlternateContent>
      <mc:Choice Requires="v">
        <w:pict>
          <v:shape w14:anchorId="3EB3B8CD" id="Image 2074404437" o:spid="_x0000_i1025" type="#_x0000_t75" style="width:3.6pt;height:6.6pt;visibility:visible;mso-wrap-style:square">
            <v:imagedata r:id="rId3" o:title=""/>
          </v:shape>
        </w:pict>
      </mc:Choice>
      <mc:Fallback>
        <w:drawing>
          <wp:inline distT="0" distB="0" distL="0" distR="0" wp14:anchorId="42D018A1" wp14:editId="444DB34D">
            <wp:extent cx="45720" cy="83820"/>
            <wp:effectExtent l="0" t="0" r="0" b="0"/>
            <wp:docPr id="2074404437" name="Image 2074404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720" cy="83820"/>
                    </a:xfrm>
                    <a:prstGeom prst="rect">
                      <a:avLst/>
                    </a:prstGeom>
                    <a:noFill/>
                    <a:ln>
                      <a:noFill/>
                    </a:ln>
                  </pic:spPr>
                </pic:pic>
              </a:graphicData>
            </a:graphic>
          </wp:inline>
        </w:drawing>
      </mc:Fallback>
    </mc:AlternateContent>
  </w:numPicBullet>
  <w:abstractNum w:abstractNumId="0" w15:restartNumberingAfterBreak="0">
    <w:nsid w:val="0A261465"/>
    <w:multiLevelType w:val="hybridMultilevel"/>
    <w:tmpl w:val="76AE5DEE"/>
    <w:lvl w:ilvl="0" w:tplc="C6C2B4FC">
      <w:start w:val="1"/>
      <w:numFmt w:val="decimal"/>
      <w:pStyle w:val="Pucenumerotee"/>
      <w:lvlText w:val="%1."/>
      <w:lvlJc w:val="left"/>
      <w:pPr>
        <w:ind w:left="1440" w:hanging="360"/>
      </w:pPr>
      <w:rPr>
        <w:rFonts w:hint="default"/>
        <w:b/>
        <w:i w:val="0"/>
        <w:color w:val="DC002E"/>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 w15:restartNumberingAfterBreak="0">
    <w:nsid w:val="21A32A96"/>
    <w:multiLevelType w:val="multilevel"/>
    <w:tmpl w:val="C35E86BC"/>
    <w:styleLink w:val="listeHVSnotetech"/>
    <w:lvl w:ilvl="0">
      <w:start w:val="1"/>
      <w:numFmt w:val="decimal"/>
      <w:suff w:val="space"/>
      <w:lvlText w:val="%1"/>
      <w:lvlJc w:val="left"/>
      <w:pPr>
        <w:ind w:left="360" w:hanging="360"/>
      </w:pPr>
      <w:rPr>
        <w:rFonts w:hint="default"/>
      </w:rPr>
    </w:lvl>
    <w:lvl w:ilvl="1">
      <w:start w:val="1"/>
      <w:numFmt w:val="decimal"/>
      <w:suff w:val="space"/>
      <w:lvlText w:val="%2.%1"/>
      <w:lvlJc w:val="left"/>
      <w:pPr>
        <w:ind w:left="720" w:hanging="360"/>
      </w:pPr>
      <w:rPr>
        <w:rFonts w:hint="default"/>
      </w:rPr>
    </w:lvl>
    <w:lvl w:ilvl="2">
      <w:start w:val="1"/>
      <w:numFmt w:val="decimal"/>
      <w:suff w:val="space"/>
      <w:lvlText w:val="%3.%1.%2"/>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262469DA"/>
    <w:multiLevelType w:val="hybridMultilevel"/>
    <w:tmpl w:val="BAEC67CC"/>
    <w:lvl w:ilvl="0" w:tplc="74E61BD2">
      <w:start w:val="1"/>
      <w:numFmt w:val="bullet"/>
      <w:lvlText w:val="&gt;"/>
      <w:lvlJc w:val="left"/>
      <w:pPr>
        <w:tabs>
          <w:tab w:val="num" w:pos="1579"/>
        </w:tabs>
        <w:ind w:left="1389" w:hanging="170"/>
      </w:pPr>
      <w:rPr>
        <w:rFonts w:ascii="Arial" w:hAnsi="Arial" w:hint="default"/>
        <w:b/>
        <w:i w:val="0"/>
        <w:sz w:val="22"/>
      </w:rPr>
    </w:lvl>
    <w:lvl w:ilvl="1" w:tplc="6F5EC9E8">
      <w:start w:val="1"/>
      <w:numFmt w:val="bullet"/>
      <w:pStyle w:val="Titreencadr"/>
      <w:lvlText w:val="&gt;"/>
      <w:lvlJc w:val="left"/>
      <w:pPr>
        <w:tabs>
          <w:tab w:val="num" w:pos="1440"/>
        </w:tabs>
        <w:ind w:left="1250" w:hanging="170"/>
      </w:pPr>
      <w:rPr>
        <w:rFonts w:ascii="Arial" w:hAnsi="Arial" w:hint="default"/>
        <w:b/>
        <w:i w:val="0"/>
        <w:sz w:val="22"/>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94B5813"/>
    <w:multiLevelType w:val="multilevel"/>
    <w:tmpl w:val="20FA8608"/>
    <w:styleLink w:val="listeHVS"/>
    <w:lvl w:ilvl="0">
      <w:start w:val="1"/>
      <w:numFmt w:val="decimal"/>
      <w:lvlText w:val="%1"/>
      <w:lvlJc w:val="left"/>
      <w:pPr>
        <w:ind w:left="360" w:hanging="360"/>
      </w:pPr>
      <w:rPr>
        <w:rFonts w:hint="default"/>
      </w:rPr>
    </w:lvl>
    <w:lvl w:ilvl="1">
      <w:start w:val="1"/>
      <w:numFmt w:val="decimal"/>
      <w:lvlText w:val="%2.%1"/>
      <w:lvlJc w:val="left"/>
      <w:pPr>
        <w:ind w:left="720" w:hanging="360"/>
      </w:pPr>
      <w:rPr>
        <w:rFonts w:hint="default"/>
      </w:rPr>
    </w:lvl>
    <w:lvl w:ilvl="2">
      <w:start w:val="1"/>
      <w:numFmt w:val="decimal"/>
      <w:lvlText w:val="%3.%1.%2"/>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2A634822"/>
    <w:multiLevelType w:val="hybridMultilevel"/>
    <w:tmpl w:val="E836F8C2"/>
    <w:lvl w:ilvl="0" w:tplc="E356F83C">
      <w:start w:val="1"/>
      <w:numFmt w:val="bullet"/>
      <w:pStyle w:val="Puce3"/>
      <w:lvlText w:val=""/>
      <w:lvlJc w:val="left"/>
      <w:pPr>
        <w:ind w:left="1996" w:hanging="360"/>
      </w:pPr>
      <w:rPr>
        <w:rFonts w:ascii="Wingdings" w:hAnsi="Wingdings" w:hint="default"/>
        <w:color w:val="00B050"/>
      </w:rPr>
    </w:lvl>
    <w:lvl w:ilvl="1" w:tplc="040C0003">
      <w:start w:val="1"/>
      <w:numFmt w:val="bullet"/>
      <w:lvlText w:val="o"/>
      <w:lvlJc w:val="left"/>
      <w:pPr>
        <w:ind w:left="2716" w:hanging="360"/>
      </w:pPr>
      <w:rPr>
        <w:rFonts w:ascii="Courier New" w:hAnsi="Courier New" w:cs="Courier New" w:hint="default"/>
      </w:rPr>
    </w:lvl>
    <w:lvl w:ilvl="2" w:tplc="040C0005" w:tentative="1">
      <w:start w:val="1"/>
      <w:numFmt w:val="bullet"/>
      <w:lvlText w:val=""/>
      <w:lvlJc w:val="left"/>
      <w:pPr>
        <w:ind w:left="3436" w:hanging="360"/>
      </w:pPr>
      <w:rPr>
        <w:rFonts w:ascii="Wingdings" w:hAnsi="Wingdings" w:hint="default"/>
      </w:rPr>
    </w:lvl>
    <w:lvl w:ilvl="3" w:tplc="040C0001" w:tentative="1">
      <w:start w:val="1"/>
      <w:numFmt w:val="bullet"/>
      <w:lvlText w:val=""/>
      <w:lvlJc w:val="left"/>
      <w:pPr>
        <w:ind w:left="4156" w:hanging="360"/>
      </w:pPr>
      <w:rPr>
        <w:rFonts w:ascii="Symbol" w:hAnsi="Symbol" w:hint="default"/>
      </w:rPr>
    </w:lvl>
    <w:lvl w:ilvl="4" w:tplc="040C0003" w:tentative="1">
      <w:start w:val="1"/>
      <w:numFmt w:val="bullet"/>
      <w:lvlText w:val="o"/>
      <w:lvlJc w:val="left"/>
      <w:pPr>
        <w:ind w:left="4876" w:hanging="360"/>
      </w:pPr>
      <w:rPr>
        <w:rFonts w:ascii="Courier New" w:hAnsi="Courier New" w:cs="Courier New" w:hint="default"/>
      </w:rPr>
    </w:lvl>
    <w:lvl w:ilvl="5" w:tplc="040C0005" w:tentative="1">
      <w:start w:val="1"/>
      <w:numFmt w:val="bullet"/>
      <w:lvlText w:val=""/>
      <w:lvlJc w:val="left"/>
      <w:pPr>
        <w:ind w:left="5596" w:hanging="360"/>
      </w:pPr>
      <w:rPr>
        <w:rFonts w:ascii="Wingdings" w:hAnsi="Wingdings" w:hint="default"/>
      </w:rPr>
    </w:lvl>
    <w:lvl w:ilvl="6" w:tplc="040C0001" w:tentative="1">
      <w:start w:val="1"/>
      <w:numFmt w:val="bullet"/>
      <w:lvlText w:val=""/>
      <w:lvlJc w:val="left"/>
      <w:pPr>
        <w:ind w:left="6316" w:hanging="360"/>
      </w:pPr>
      <w:rPr>
        <w:rFonts w:ascii="Symbol" w:hAnsi="Symbol" w:hint="default"/>
      </w:rPr>
    </w:lvl>
    <w:lvl w:ilvl="7" w:tplc="040C0003" w:tentative="1">
      <w:start w:val="1"/>
      <w:numFmt w:val="bullet"/>
      <w:lvlText w:val="o"/>
      <w:lvlJc w:val="left"/>
      <w:pPr>
        <w:ind w:left="7036" w:hanging="360"/>
      </w:pPr>
      <w:rPr>
        <w:rFonts w:ascii="Courier New" w:hAnsi="Courier New" w:cs="Courier New" w:hint="default"/>
      </w:rPr>
    </w:lvl>
    <w:lvl w:ilvl="8" w:tplc="040C0005" w:tentative="1">
      <w:start w:val="1"/>
      <w:numFmt w:val="bullet"/>
      <w:lvlText w:val=""/>
      <w:lvlJc w:val="left"/>
      <w:pPr>
        <w:ind w:left="7756" w:hanging="360"/>
      </w:pPr>
      <w:rPr>
        <w:rFonts w:ascii="Wingdings" w:hAnsi="Wingdings" w:hint="default"/>
      </w:rPr>
    </w:lvl>
  </w:abstractNum>
  <w:abstractNum w:abstractNumId="5" w15:restartNumberingAfterBreak="0">
    <w:nsid w:val="31583E05"/>
    <w:multiLevelType w:val="multilevel"/>
    <w:tmpl w:val="6E620BCA"/>
    <w:styleLink w:val="Style1"/>
    <w:lvl w:ilvl="0">
      <w:start w:val="1"/>
      <w:numFmt w:val="decimal"/>
      <w:pStyle w:val="Titre1"/>
      <w:lvlText w:val="%1."/>
      <w:lvlJc w:val="left"/>
      <w:pPr>
        <w:ind w:left="360" w:hanging="360"/>
      </w:pPr>
      <w:rPr>
        <w:rFonts w:hint="default"/>
        <w:b/>
        <w:i w:val="0"/>
        <w:color w:val="DC002E"/>
      </w:rPr>
    </w:lvl>
    <w:lvl w:ilvl="1">
      <w:start w:val="1"/>
      <w:numFmt w:val="decimal"/>
      <w:pStyle w:val="Titre2"/>
      <w:lvlText w:val="%1.%2."/>
      <w:lvlJc w:val="left"/>
      <w:pPr>
        <w:ind w:left="720" w:hanging="360"/>
      </w:pPr>
      <w:rPr>
        <w:rFonts w:hint="default"/>
        <w:b/>
        <w:i w:val="0"/>
      </w:rPr>
    </w:lvl>
    <w:lvl w:ilvl="2">
      <w:start w:val="1"/>
      <w:numFmt w:val="decimal"/>
      <w:pStyle w:val="Titre3"/>
      <w:lvlText w:val="%1.%2.%3."/>
      <w:lvlJc w:val="left"/>
      <w:pPr>
        <w:ind w:left="1080" w:hanging="360"/>
      </w:pPr>
      <w:rPr>
        <w:rFonts w:hint="default"/>
        <w:b/>
        <w:i w:val="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3B0D1151"/>
    <w:multiLevelType w:val="hybridMultilevel"/>
    <w:tmpl w:val="F92A4CF8"/>
    <w:lvl w:ilvl="0" w:tplc="FA0C6B76">
      <w:start w:val="1"/>
      <w:numFmt w:val="bullet"/>
      <w:pStyle w:val="Puce1b"/>
      <w:lvlText w:val=""/>
      <w:lvlJc w:val="left"/>
      <w:pPr>
        <w:ind w:left="1429" w:hanging="360"/>
      </w:pPr>
      <w:rPr>
        <w:rFonts w:ascii="Symbol" w:hAnsi="Symbol" w:hint="default"/>
        <w:b/>
        <w:i w:val="0"/>
        <w:color w:val="C00000"/>
        <w:sz w:val="28"/>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7" w15:restartNumberingAfterBreak="0">
    <w:nsid w:val="3DF36052"/>
    <w:multiLevelType w:val="hybridMultilevel"/>
    <w:tmpl w:val="A15A9712"/>
    <w:lvl w:ilvl="0" w:tplc="040C0001">
      <w:start w:val="1"/>
      <w:numFmt w:val="bullet"/>
      <w:lvlText w:val=""/>
      <w:lvlJc w:val="left"/>
      <w:pPr>
        <w:ind w:left="1429" w:hanging="360"/>
      </w:pPr>
      <w:rPr>
        <w:rFonts w:ascii="Symbol" w:hAnsi="Symbol" w:hint="default"/>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8" w15:restartNumberingAfterBreak="0">
    <w:nsid w:val="54C304C3"/>
    <w:multiLevelType w:val="hybridMultilevel"/>
    <w:tmpl w:val="EE8274F0"/>
    <w:lvl w:ilvl="0" w:tplc="A35C6E7A">
      <w:start w:val="1"/>
      <w:numFmt w:val="bullet"/>
      <w:pStyle w:val="Titreencadre"/>
      <w:lvlText w:val=""/>
      <w:lvlPicBulletId w:val="0"/>
      <w:lvlJc w:val="left"/>
      <w:pPr>
        <w:ind w:left="53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F824FC1"/>
    <w:multiLevelType w:val="singleLevel"/>
    <w:tmpl w:val="4E4E86F8"/>
    <w:lvl w:ilvl="0">
      <w:start w:val="1"/>
      <w:numFmt w:val="bullet"/>
      <w:pStyle w:val="Puce1"/>
      <w:lvlText w:val=""/>
      <w:lvlJc w:val="left"/>
      <w:pPr>
        <w:tabs>
          <w:tab w:val="num" w:pos="360"/>
        </w:tabs>
        <w:ind w:left="170" w:hanging="170"/>
      </w:pPr>
      <w:rPr>
        <w:rFonts w:ascii="Symbol" w:hAnsi="Symbol" w:hint="default"/>
        <w:b w:val="0"/>
        <w:i w:val="0"/>
        <w:sz w:val="20"/>
      </w:rPr>
    </w:lvl>
  </w:abstractNum>
  <w:abstractNum w:abstractNumId="10" w15:restartNumberingAfterBreak="0">
    <w:nsid w:val="5FD1262F"/>
    <w:multiLevelType w:val="hybridMultilevel"/>
    <w:tmpl w:val="D0B40188"/>
    <w:lvl w:ilvl="0" w:tplc="150A9D20">
      <w:start w:val="1"/>
      <w:numFmt w:val="bullet"/>
      <w:pStyle w:val="Puce2"/>
      <w:lvlText w:val=""/>
      <w:lvlJc w:val="left"/>
      <w:pPr>
        <w:ind w:left="1440" w:hanging="360"/>
      </w:pPr>
      <w:rPr>
        <w:rFonts w:ascii="Symbol" w:hAnsi="Symbol" w:hint="default"/>
        <w:color w:val="DC002E"/>
        <w:sz w:val="28"/>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1" w15:restartNumberingAfterBreak="0">
    <w:nsid w:val="633524CE"/>
    <w:multiLevelType w:val="hybridMultilevel"/>
    <w:tmpl w:val="78109F62"/>
    <w:lvl w:ilvl="0" w:tplc="040C000F">
      <w:start w:val="1"/>
      <w:numFmt w:val="decimal"/>
      <w:lvlText w:val="%1."/>
      <w:lvlJc w:val="left"/>
      <w:pPr>
        <w:ind w:left="1429" w:hanging="360"/>
      </w:pPr>
    </w:lvl>
    <w:lvl w:ilvl="1" w:tplc="040C0019" w:tentative="1">
      <w:start w:val="1"/>
      <w:numFmt w:val="lowerLetter"/>
      <w:lvlText w:val="%2."/>
      <w:lvlJc w:val="left"/>
      <w:pPr>
        <w:ind w:left="2149" w:hanging="360"/>
      </w:pPr>
    </w:lvl>
    <w:lvl w:ilvl="2" w:tplc="040C001B" w:tentative="1">
      <w:start w:val="1"/>
      <w:numFmt w:val="lowerRoman"/>
      <w:lvlText w:val="%3."/>
      <w:lvlJc w:val="right"/>
      <w:pPr>
        <w:ind w:left="2869" w:hanging="180"/>
      </w:pPr>
    </w:lvl>
    <w:lvl w:ilvl="3" w:tplc="040C000F" w:tentative="1">
      <w:start w:val="1"/>
      <w:numFmt w:val="decimal"/>
      <w:lvlText w:val="%4."/>
      <w:lvlJc w:val="left"/>
      <w:pPr>
        <w:ind w:left="3589" w:hanging="360"/>
      </w:pPr>
    </w:lvl>
    <w:lvl w:ilvl="4" w:tplc="040C0019" w:tentative="1">
      <w:start w:val="1"/>
      <w:numFmt w:val="lowerLetter"/>
      <w:lvlText w:val="%5."/>
      <w:lvlJc w:val="left"/>
      <w:pPr>
        <w:ind w:left="4309" w:hanging="360"/>
      </w:pPr>
    </w:lvl>
    <w:lvl w:ilvl="5" w:tplc="040C001B" w:tentative="1">
      <w:start w:val="1"/>
      <w:numFmt w:val="lowerRoman"/>
      <w:lvlText w:val="%6."/>
      <w:lvlJc w:val="right"/>
      <w:pPr>
        <w:ind w:left="5029" w:hanging="180"/>
      </w:pPr>
    </w:lvl>
    <w:lvl w:ilvl="6" w:tplc="040C000F" w:tentative="1">
      <w:start w:val="1"/>
      <w:numFmt w:val="decimal"/>
      <w:lvlText w:val="%7."/>
      <w:lvlJc w:val="left"/>
      <w:pPr>
        <w:ind w:left="5749" w:hanging="360"/>
      </w:pPr>
    </w:lvl>
    <w:lvl w:ilvl="7" w:tplc="040C0019" w:tentative="1">
      <w:start w:val="1"/>
      <w:numFmt w:val="lowerLetter"/>
      <w:lvlText w:val="%8."/>
      <w:lvlJc w:val="left"/>
      <w:pPr>
        <w:ind w:left="6469" w:hanging="360"/>
      </w:pPr>
    </w:lvl>
    <w:lvl w:ilvl="8" w:tplc="040C001B" w:tentative="1">
      <w:start w:val="1"/>
      <w:numFmt w:val="lowerRoman"/>
      <w:lvlText w:val="%9."/>
      <w:lvlJc w:val="right"/>
      <w:pPr>
        <w:ind w:left="7189" w:hanging="180"/>
      </w:pPr>
    </w:lvl>
  </w:abstractNum>
  <w:abstractNum w:abstractNumId="12" w15:restartNumberingAfterBreak="0">
    <w:nsid w:val="69A954F6"/>
    <w:multiLevelType w:val="hybridMultilevel"/>
    <w:tmpl w:val="F76A5AE2"/>
    <w:lvl w:ilvl="0" w:tplc="D6A65B6E">
      <w:start w:val="1"/>
      <w:numFmt w:val="bullet"/>
      <w:lvlText w:val=""/>
      <w:lvlJc w:val="left"/>
      <w:pPr>
        <w:ind w:left="1429" w:hanging="360"/>
      </w:pPr>
      <w:rPr>
        <w:rFonts w:ascii="Symbol" w:hAnsi="Symbol" w:hint="default"/>
        <w:sz w:val="28"/>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13" w15:restartNumberingAfterBreak="0">
    <w:nsid w:val="6BC07B4F"/>
    <w:multiLevelType w:val="hybridMultilevel"/>
    <w:tmpl w:val="93EEBF18"/>
    <w:lvl w:ilvl="0" w:tplc="EE70E576">
      <w:start w:val="1"/>
      <w:numFmt w:val="bullet"/>
      <w:pStyle w:val="Puce10"/>
      <w:lvlText w:val=""/>
      <w:lvlJc w:val="left"/>
      <w:pPr>
        <w:ind w:left="1091" w:hanging="360"/>
      </w:pPr>
      <w:rPr>
        <w:rFonts w:ascii="Wingdings" w:hAnsi="Wingdings" w:hint="default"/>
        <w:color w:val="00B050"/>
      </w:rPr>
    </w:lvl>
    <w:lvl w:ilvl="1" w:tplc="040C0003" w:tentative="1">
      <w:start w:val="1"/>
      <w:numFmt w:val="bullet"/>
      <w:lvlText w:val="o"/>
      <w:lvlJc w:val="left"/>
      <w:pPr>
        <w:ind w:left="1811" w:hanging="360"/>
      </w:pPr>
      <w:rPr>
        <w:rFonts w:ascii="Courier New" w:hAnsi="Courier New" w:cs="Courier New" w:hint="default"/>
      </w:rPr>
    </w:lvl>
    <w:lvl w:ilvl="2" w:tplc="040C0005" w:tentative="1">
      <w:start w:val="1"/>
      <w:numFmt w:val="bullet"/>
      <w:lvlText w:val=""/>
      <w:lvlJc w:val="left"/>
      <w:pPr>
        <w:ind w:left="2531" w:hanging="360"/>
      </w:pPr>
      <w:rPr>
        <w:rFonts w:ascii="Wingdings" w:hAnsi="Wingdings" w:hint="default"/>
      </w:rPr>
    </w:lvl>
    <w:lvl w:ilvl="3" w:tplc="040C0001" w:tentative="1">
      <w:start w:val="1"/>
      <w:numFmt w:val="bullet"/>
      <w:lvlText w:val=""/>
      <w:lvlJc w:val="left"/>
      <w:pPr>
        <w:ind w:left="3251" w:hanging="360"/>
      </w:pPr>
      <w:rPr>
        <w:rFonts w:ascii="Symbol" w:hAnsi="Symbol" w:hint="default"/>
      </w:rPr>
    </w:lvl>
    <w:lvl w:ilvl="4" w:tplc="040C0003" w:tentative="1">
      <w:start w:val="1"/>
      <w:numFmt w:val="bullet"/>
      <w:lvlText w:val="o"/>
      <w:lvlJc w:val="left"/>
      <w:pPr>
        <w:ind w:left="3971" w:hanging="360"/>
      </w:pPr>
      <w:rPr>
        <w:rFonts w:ascii="Courier New" w:hAnsi="Courier New" w:cs="Courier New" w:hint="default"/>
      </w:rPr>
    </w:lvl>
    <w:lvl w:ilvl="5" w:tplc="040C0005" w:tentative="1">
      <w:start w:val="1"/>
      <w:numFmt w:val="bullet"/>
      <w:lvlText w:val=""/>
      <w:lvlJc w:val="left"/>
      <w:pPr>
        <w:ind w:left="4691" w:hanging="360"/>
      </w:pPr>
      <w:rPr>
        <w:rFonts w:ascii="Wingdings" w:hAnsi="Wingdings" w:hint="default"/>
      </w:rPr>
    </w:lvl>
    <w:lvl w:ilvl="6" w:tplc="040C0001" w:tentative="1">
      <w:start w:val="1"/>
      <w:numFmt w:val="bullet"/>
      <w:lvlText w:val=""/>
      <w:lvlJc w:val="left"/>
      <w:pPr>
        <w:ind w:left="5411" w:hanging="360"/>
      </w:pPr>
      <w:rPr>
        <w:rFonts w:ascii="Symbol" w:hAnsi="Symbol" w:hint="default"/>
      </w:rPr>
    </w:lvl>
    <w:lvl w:ilvl="7" w:tplc="040C0003" w:tentative="1">
      <w:start w:val="1"/>
      <w:numFmt w:val="bullet"/>
      <w:lvlText w:val="o"/>
      <w:lvlJc w:val="left"/>
      <w:pPr>
        <w:ind w:left="6131" w:hanging="360"/>
      </w:pPr>
      <w:rPr>
        <w:rFonts w:ascii="Courier New" w:hAnsi="Courier New" w:cs="Courier New" w:hint="default"/>
      </w:rPr>
    </w:lvl>
    <w:lvl w:ilvl="8" w:tplc="040C0005" w:tentative="1">
      <w:start w:val="1"/>
      <w:numFmt w:val="bullet"/>
      <w:lvlText w:val=""/>
      <w:lvlJc w:val="left"/>
      <w:pPr>
        <w:ind w:left="6851" w:hanging="360"/>
      </w:pPr>
      <w:rPr>
        <w:rFonts w:ascii="Wingdings" w:hAnsi="Wingdings" w:hint="default"/>
      </w:rPr>
    </w:lvl>
  </w:abstractNum>
  <w:abstractNum w:abstractNumId="14" w15:restartNumberingAfterBreak="0">
    <w:nsid w:val="750E73A4"/>
    <w:multiLevelType w:val="hybridMultilevel"/>
    <w:tmpl w:val="40A66CBE"/>
    <w:lvl w:ilvl="0" w:tplc="4A9818CE">
      <w:start w:val="1"/>
      <w:numFmt w:val="bullet"/>
      <w:lvlText w:val=""/>
      <w:lvlJc w:val="left"/>
      <w:pPr>
        <w:ind w:left="1429" w:hanging="360"/>
      </w:pPr>
      <w:rPr>
        <w:rFonts w:ascii="Symbol" w:hAnsi="Symbol" w:hint="default"/>
        <w:sz w:val="18"/>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15" w15:restartNumberingAfterBreak="0">
    <w:nsid w:val="756F0699"/>
    <w:multiLevelType w:val="hybridMultilevel"/>
    <w:tmpl w:val="88B2A65A"/>
    <w:lvl w:ilvl="0" w:tplc="040C000F">
      <w:start w:val="1"/>
      <w:numFmt w:val="decimal"/>
      <w:lvlText w:val="%1."/>
      <w:lvlJc w:val="left"/>
      <w:pPr>
        <w:ind w:left="1440" w:hanging="360"/>
      </w:pPr>
      <w:rPr>
        <w:rFonts w:hint="default"/>
        <w:color w:val="DC002E"/>
        <w:sz w:val="28"/>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6" w15:restartNumberingAfterBreak="0">
    <w:nsid w:val="75AD3E29"/>
    <w:multiLevelType w:val="hybridMultilevel"/>
    <w:tmpl w:val="CC0A2FA0"/>
    <w:lvl w:ilvl="0" w:tplc="DD3E25E6">
      <w:start w:val="1"/>
      <w:numFmt w:val="bullet"/>
      <w:lvlText w:val=""/>
      <w:lvlJc w:val="left"/>
      <w:pPr>
        <w:ind w:left="1429" w:hanging="360"/>
      </w:pPr>
      <w:rPr>
        <w:rFonts w:ascii="Wingdings" w:hAnsi="Wingdings" w:hint="default"/>
        <w:color w:val="C00000"/>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17" w15:restartNumberingAfterBreak="0">
    <w:nsid w:val="7C0A5458"/>
    <w:multiLevelType w:val="hybridMultilevel"/>
    <w:tmpl w:val="021C3B70"/>
    <w:lvl w:ilvl="0" w:tplc="4A9818CE">
      <w:start w:val="1"/>
      <w:numFmt w:val="bullet"/>
      <w:lvlText w:val=""/>
      <w:lvlJc w:val="left"/>
      <w:pPr>
        <w:ind w:left="1429" w:hanging="360"/>
      </w:pPr>
      <w:rPr>
        <w:rFonts w:ascii="Symbol" w:hAnsi="Symbol" w:hint="default"/>
        <w:sz w:val="18"/>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num w:numId="1" w16cid:durableId="605776577">
    <w:abstractNumId w:val="8"/>
  </w:num>
  <w:num w:numId="2" w16cid:durableId="433091388">
    <w:abstractNumId w:val="3"/>
  </w:num>
  <w:num w:numId="3" w16cid:durableId="32581477">
    <w:abstractNumId w:val="1"/>
  </w:num>
  <w:num w:numId="4" w16cid:durableId="1409303401">
    <w:abstractNumId w:val="10"/>
  </w:num>
  <w:num w:numId="5" w16cid:durableId="2088454640">
    <w:abstractNumId w:val="0"/>
  </w:num>
  <w:num w:numId="6" w16cid:durableId="1583248475">
    <w:abstractNumId w:val="5"/>
    <w:lvlOverride w:ilvl="0">
      <w:lvl w:ilvl="0">
        <w:start w:val="1"/>
        <w:numFmt w:val="decimal"/>
        <w:pStyle w:val="Titre1"/>
        <w:lvlText w:val="%1."/>
        <w:lvlJc w:val="left"/>
        <w:pPr>
          <w:ind w:left="360" w:hanging="360"/>
        </w:pPr>
        <w:rPr>
          <w:rFonts w:hint="default"/>
          <w:b/>
          <w:i w:val="0"/>
          <w:color w:val="00B050"/>
        </w:rPr>
      </w:lvl>
    </w:lvlOverride>
    <w:lvlOverride w:ilvl="1">
      <w:lvl w:ilvl="1">
        <w:start w:val="1"/>
        <w:numFmt w:val="decimal"/>
        <w:pStyle w:val="Titre2"/>
        <w:lvlText w:val="%1.%2."/>
        <w:lvlJc w:val="left"/>
        <w:pPr>
          <w:ind w:left="720" w:hanging="360"/>
        </w:pPr>
        <w:rPr>
          <w:rFonts w:hint="default"/>
          <w:b/>
          <w:i w:val="0"/>
          <w:color w:val="00B050"/>
        </w:rPr>
      </w:lvl>
    </w:lvlOverride>
  </w:num>
  <w:num w:numId="7" w16cid:durableId="1032460374">
    <w:abstractNumId w:val="13"/>
  </w:num>
  <w:num w:numId="8" w16cid:durableId="823593773">
    <w:abstractNumId w:val="2"/>
  </w:num>
  <w:num w:numId="9" w16cid:durableId="387848438">
    <w:abstractNumId w:val="9"/>
  </w:num>
  <w:num w:numId="10" w16cid:durableId="2033991467">
    <w:abstractNumId w:val="6"/>
  </w:num>
  <w:num w:numId="11" w16cid:durableId="198276572">
    <w:abstractNumId w:val="17"/>
  </w:num>
  <w:num w:numId="12" w16cid:durableId="937836272">
    <w:abstractNumId w:val="14"/>
  </w:num>
  <w:num w:numId="13" w16cid:durableId="1155075370">
    <w:abstractNumId w:val="12"/>
  </w:num>
  <w:num w:numId="14" w16cid:durableId="1361080578">
    <w:abstractNumId w:val="7"/>
  </w:num>
  <w:num w:numId="15" w16cid:durableId="836574907">
    <w:abstractNumId w:val="15"/>
  </w:num>
  <w:num w:numId="16" w16cid:durableId="1703552693">
    <w:abstractNumId w:val="4"/>
  </w:num>
  <w:num w:numId="17" w16cid:durableId="1568801976">
    <w:abstractNumId w:val="11"/>
  </w:num>
  <w:num w:numId="18" w16cid:durableId="6386505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570505249">
    <w:abstractNumId w:val="16"/>
  </w:num>
  <w:num w:numId="20" w16cid:durableId="530193117">
    <w:abstractNumId w:val="4"/>
  </w:num>
  <w:num w:numId="21" w16cid:durableId="313875097">
    <w:abstractNumId w:val="4"/>
  </w:num>
  <w:num w:numId="22" w16cid:durableId="38941434">
    <w:abstractNumId w:val="4"/>
  </w:num>
  <w:num w:numId="23" w16cid:durableId="202063003">
    <w:abstractNumId w:val="4"/>
  </w:num>
  <w:num w:numId="24" w16cid:durableId="1170488876">
    <w:abstractNumId w:val="4"/>
  </w:num>
  <w:num w:numId="25" w16cid:durableId="1416587485">
    <w:abstractNumId w:val="4"/>
  </w:num>
  <w:num w:numId="26" w16cid:durableId="426653323">
    <w:abstractNumId w:val="4"/>
  </w:num>
  <w:num w:numId="27" w16cid:durableId="1123772028">
    <w:abstractNumId w:val="4"/>
  </w:num>
  <w:num w:numId="28" w16cid:durableId="1145049641">
    <w:abstractNumId w:val="4"/>
  </w:num>
  <w:num w:numId="29" w16cid:durableId="686059793">
    <w:abstractNumId w:val="4"/>
  </w:num>
  <w:num w:numId="30" w16cid:durableId="1980721515">
    <w:abstractNumId w:val="4"/>
  </w:num>
  <w:num w:numId="31" w16cid:durableId="498081996">
    <w:abstractNumId w:val="5"/>
  </w:num>
  <w:num w:numId="32" w16cid:durableId="20523234">
    <w:abstractNumId w:val="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LockQFSet/>
  <w:defaultTabStop w:val="709"/>
  <w:hyphenationZone w:val="425"/>
  <w:characterSpacingControl w:val="doNotCompress"/>
  <w:hdrShapeDefaults>
    <o:shapedefaults v:ext="edit" spidmax="2050">
      <o:colormru v:ext="edit" colors="#4b5760,#4b575f,#ecede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3822"/>
    <w:rsid w:val="000013D3"/>
    <w:rsid w:val="00001F58"/>
    <w:rsid w:val="0000249B"/>
    <w:rsid w:val="00002768"/>
    <w:rsid w:val="0000291F"/>
    <w:rsid w:val="00003266"/>
    <w:rsid w:val="000037EF"/>
    <w:rsid w:val="00003863"/>
    <w:rsid w:val="000038D9"/>
    <w:rsid w:val="00004A8B"/>
    <w:rsid w:val="000050B9"/>
    <w:rsid w:val="00005328"/>
    <w:rsid w:val="000053F7"/>
    <w:rsid w:val="00006F95"/>
    <w:rsid w:val="000070F6"/>
    <w:rsid w:val="000077A8"/>
    <w:rsid w:val="000104E3"/>
    <w:rsid w:val="00010B58"/>
    <w:rsid w:val="00010E36"/>
    <w:rsid w:val="0001177D"/>
    <w:rsid w:val="00011D82"/>
    <w:rsid w:val="000127D6"/>
    <w:rsid w:val="000133AD"/>
    <w:rsid w:val="00013853"/>
    <w:rsid w:val="00013B3D"/>
    <w:rsid w:val="0001449F"/>
    <w:rsid w:val="000144EB"/>
    <w:rsid w:val="00014BCE"/>
    <w:rsid w:val="00015362"/>
    <w:rsid w:val="00015EEF"/>
    <w:rsid w:val="000161E8"/>
    <w:rsid w:val="000162F2"/>
    <w:rsid w:val="00016EB4"/>
    <w:rsid w:val="000170A1"/>
    <w:rsid w:val="00020A12"/>
    <w:rsid w:val="00020D57"/>
    <w:rsid w:val="00020DF4"/>
    <w:rsid w:val="00020FED"/>
    <w:rsid w:val="0002104C"/>
    <w:rsid w:val="00021D33"/>
    <w:rsid w:val="00022B0B"/>
    <w:rsid w:val="00022BFB"/>
    <w:rsid w:val="00023A56"/>
    <w:rsid w:val="00023AAB"/>
    <w:rsid w:val="00024FE5"/>
    <w:rsid w:val="00025ED3"/>
    <w:rsid w:val="00030B74"/>
    <w:rsid w:val="00030B88"/>
    <w:rsid w:val="00031F05"/>
    <w:rsid w:val="00032489"/>
    <w:rsid w:val="000332E2"/>
    <w:rsid w:val="00034B73"/>
    <w:rsid w:val="00035091"/>
    <w:rsid w:val="00035744"/>
    <w:rsid w:val="00035D5A"/>
    <w:rsid w:val="00035EC8"/>
    <w:rsid w:val="00035EE5"/>
    <w:rsid w:val="000360FD"/>
    <w:rsid w:val="000362C9"/>
    <w:rsid w:val="00036458"/>
    <w:rsid w:val="00036C11"/>
    <w:rsid w:val="00037002"/>
    <w:rsid w:val="0003794D"/>
    <w:rsid w:val="000414F0"/>
    <w:rsid w:val="000419E9"/>
    <w:rsid w:val="00042D69"/>
    <w:rsid w:val="00042EC3"/>
    <w:rsid w:val="000434FA"/>
    <w:rsid w:val="000446C4"/>
    <w:rsid w:val="00044A58"/>
    <w:rsid w:val="00044B92"/>
    <w:rsid w:val="000471F1"/>
    <w:rsid w:val="00047BAB"/>
    <w:rsid w:val="00047CFA"/>
    <w:rsid w:val="00050331"/>
    <w:rsid w:val="00050333"/>
    <w:rsid w:val="000504DA"/>
    <w:rsid w:val="00052270"/>
    <w:rsid w:val="00052449"/>
    <w:rsid w:val="00052BB7"/>
    <w:rsid w:val="00053195"/>
    <w:rsid w:val="000535E6"/>
    <w:rsid w:val="000551C5"/>
    <w:rsid w:val="000551CE"/>
    <w:rsid w:val="00055A51"/>
    <w:rsid w:val="0005636C"/>
    <w:rsid w:val="0005645F"/>
    <w:rsid w:val="00056518"/>
    <w:rsid w:val="00056F88"/>
    <w:rsid w:val="0006013D"/>
    <w:rsid w:val="000611F5"/>
    <w:rsid w:val="000630DD"/>
    <w:rsid w:val="00063AD2"/>
    <w:rsid w:val="00064268"/>
    <w:rsid w:val="00064DA9"/>
    <w:rsid w:val="000650C9"/>
    <w:rsid w:val="00065203"/>
    <w:rsid w:val="000671BC"/>
    <w:rsid w:val="000676A9"/>
    <w:rsid w:val="000701C8"/>
    <w:rsid w:val="00070AAD"/>
    <w:rsid w:val="00071E1B"/>
    <w:rsid w:val="0007228A"/>
    <w:rsid w:val="0007415C"/>
    <w:rsid w:val="0007427E"/>
    <w:rsid w:val="000752A0"/>
    <w:rsid w:val="00076175"/>
    <w:rsid w:val="000764E9"/>
    <w:rsid w:val="00076666"/>
    <w:rsid w:val="00076E1A"/>
    <w:rsid w:val="000773D0"/>
    <w:rsid w:val="000804D9"/>
    <w:rsid w:val="00080678"/>
    <w:rsid w:val="00080D9E"/>
    <w:rsid w:val="00081147"/>
    <w:rsid w:val="00081B24"/>
    <w:rsid w:val="0008203E"/>
    <w:rsid w:val="00082779"/>
    <w:rsid w:val="00083360"/>
    <w:rsid w:val="0008396C"/>
    <w:rsid w:val="00084010"/>
    <w:rsid w:val="00084A68"/>
    <w:rsid w:val="00085FAA"/>
    <w:rsid w:val="000861DD"/>
    <w:rsid w:val="00086ABD"/>
    <w:rsid w:val="00086D74"/>
    <w:rsid w:val="000904D6"/>
    <w:rsid w:val="00090758"/>
    <w:rsid w:val="00093C47"/>
    <w:rsid w:val="00094320"/>
    <w:rsid w:val="00094F36"/>
    <w:rsid w:val="00095296"/>
    <w:rsid w:val="00095AE6"/>
    <w:rsid w:val="00095EFC"/>
    <w:rsid w:val="00095F8A"/>
    <w:rsid w:val="0009679B"/>
    <w:rsid w:val="00096E25"/>
    <w:rsid w:val="00096EEA"/>
    <w:rsid w:val="00097786"/>
    <w:rsid w:val="000A04A7"/>
    <w:rsid w:val="000A0F40"/>
    <w:rsid w:val="000A14B6"/>
    <w:rsid w:val="000A168E"/>
    <w:rsid w:val="000A18B9"/>
    <w:rsid w:val="000A2ED8"/>
    <w:rsid w:val="000A52D4"/>
    <w:rsid w:val="000A5460"/>
    <w:rsid w:val="000A5FA5"/>
    <w:rsid w:val="000A6807"/>
    <w:rsid w:val="000A6AE2"/>
    <w:rsid w:val="000A73E4"/>
    <w:rsid w:val="000A7415"/>
    <w:rsid w:val="000B12F9"/>
    <w:rsid w:val="000B1CBB"/>
    <w:rsid w:val="000B1F60"/>
    <w:rsid w:val="000B219F"/>
    <w:rsid w:val="000B21FB"/>
    <w:rsid w:val="000B319B"/>
    <w:rsid w:val="000B345E"/>
    <w:rsid w:val="000B3FA8"/>
    <w:rsid w:val="000B524C"/>
    <w:rsid w:val="000B59B2"/>
    <w:rsid w:val="000B5ED8"/>
    <w:rsid w:val="000B690C"/>
    <w:rsid w:val="000B7E67"/>
    <w:rsid w:val="000C07D5"/>
    <w:rsid w:val="000C1A96"/>
    <w:rsid w:val="000C1BCE"/>
    <w:rsid w:val="000C1F62"/>
    <w:rsid w:val="000C369D"/>
    <w:rsid w:val="000C505A"/>
    <w:rsid w:val="000C5372"/>
    <w:rsid w:val="000C5574"/>
    <w:rsid w:val="000C65D8"/>
    <w:rsid w:val="000C6A60"/>
    <w:rsid w:val="000D02C7"/>
    <w:rsid w:val="000D0634"/>
    <w:rsid w:val="000D08BF"/>
    <w:rsid w:val="000D12E7"/>
    <w:rsid w:val="000D1EF8"/>
    <w:rsid w:val="000D2B73"/>
    <w:rsid w:val="000D41C0"/>
    <w:rsid w:val="000D4633"/>
    <w:rsid w:val="000D5471"/>
    <w:rsid w:val="000D57BC"/>
    <w:rsid w:val="000D5CF4"/>
    <w:rsid w:val="000D6468"/>
    <w:rsid w:val="000D6702"/>
    <w:rsid w:val="000E041B"/>
    <w:rsid w:val="000E042A"/>
    <w:rsid w:val="000E09F1"/>
    <w:rsid w:val="000E1CF5"/>
    <w:rsid w:val="000E1FE0"/>
    <w:rsid w:val="000E20F2"/>
    <w:rsid w:val="000E3FF3"/>
    <w:rsid w:val="000E594A"/>
    <w:rsid w:val="000E6D43"/>
    <w:rsid w:val="000E7DEB"/>
    <w:rsid w:val="000E7E30"/>
    <w:rsid w:val="000F0869"/>
    <w:rsid w:val="000F08A1"/>
    <w:rsid w:val="000F0D3F"/>
    <w:rsid w:val="000F0E6B"/>
    <w:rsid w:val="000F155C"/>
    <w:rsid w:val="000F17EA"/>
    <w:rsid w:val="000F1849"/>
    <w:rsid w:val="000F1F14"/>
    <w:rsid w:val="000F267E"/>
    <w:rsid w:val="000F2B2C"/>
    <w:rsid w:val="000F2B6D"/>
    <w:rsid w:val="000F351D"/>
    <w:rsid w:val="000F44A2"/>
    <w:rsid w:val="000F5593"/>
    <w:rsid w:val="000F5938"/>
    <w:rsid w:val="000F599F"/>
    <w:rsid w:val="000F59BA"/>
    <w:rsid w:val="000F60B2"/>
    <w:rsid w:val="000F704E"/>
    <w:rsid w:val="000F7A65"/>
    <w:rsid w:val="00100433"/>
    <w:rsid w:val="00100655"/>
    <w:rsid w:val="00100942"/>
    <w:rsid w:val="001018BC"/>
    <w:rsid w:val="00101CE6"/>
    <w:rsid w:val="00101F51"/>
    <w:rsid w:val="001029A7"/>
    <w:rsid w:val="001031E6"/>
    <w:rsid w:val="0010392C"/>
    <w:rsid w:val="00103B11"/>
    <w:rsid w:val="0010419B"/>
    <w:rsid w:val="00104CB9"/>
    <w:rsid w:val="00104DA5"/>
    <w:rsid w:val="00104DEF"/>
    <w:rsid w:val="0010552F"/>
    <w:rsid w:val="00105890"/>
    <w:rsid w:val="00106B8E"/>
    <w:rsid w:val="001108A2"/>
    <w:rsid w:val="001111A4"/>
    <w:rsid w:val="001112CA"/>
    <w:rsid w:val="001125AE"/>
    <w:rsid w:val="0011443A"/>
    <w:rsid w:val="00114817"/>
    <w:rsid w:val="0011490D"/>
    <w:rsid w:val="00115577"/>
    <w:rsid w:val="00115BD0"/>
    <w:rsid w:val="001160F2"/>
    <w:rsid w:val="0011653E"/>
    <w:rsid w:val="00116BB0"/>
    <w:rsid w:val="001200A3"/>
    <w:rsid w:val="00120886"/>
    <w:rsid w:val="00122E32"/>
    <w:rsid w:val="00122F9D"/>
    <w:rsid w:val="00123347"/>
    <w:rsid w:val="00123BAE"/>
    <w:rsid w:val="001243F2"/>
    <w:rsid w:val="00124C07"/>
    <w:rsid w:val="00124EFE"/>
    <w:rsid w:val="00125092"/>
    <w:rsid w:val="00125ADA"/>
    <w:rsid w:val="00125E65"/>
    <w:rsid w:val="00126FCE"/>
    <w:rsid w:val="00126FF9"/>
    <w:rsid w:val="00130230"/>
    <w:rsid w:val="001306DA"/>
    <w:rsid w:val="00130D0F"/>
    <w:rsid w:val="00132608"/>
    <w:rsid w:val="00132D66"/>
    <w:rsid w:val="00133398"/>
    <w:rsid w:val="001334CA"/>
    <w:rsid w:val="00134AAD"/>
    <w:rsid w:val="00134BE2"/>
    <w:rsid w:val="00135B0A"/>
    <w:rsid w:val="00135FFD"/>
    <w:rsid w:val="00136153"/>
    <w:rsid w:val="001363DE"/>
    <w:rsid w:val="001368F5"/>
    <w:rsid w:val="00137AB3"/>
    <w:rsid w:val="001406EA"/>
    <w:rsid w:val="00140BC6"/>
    <w:rsid w:val="00140C8B"/>
    <w:rsid w:val="0014138C"/>
    <w:rsid w:val="00141AFC"/>
    <w:rsid w:val="001420CF"/>
    <w:rsid w:val="00142117"/>
    <w:rsid w:val="00142485"/>
    <w:rsid w:val="00143008"/>
    <w:rsid w:val="00143086"/>
    <w:rsid w:val="001430BF"/>
    <w:rsid w:val="00143178"/>
    <w:rsid w:val="00143C2C"/>
    <w:rsid w:val="00143F07"/>
    <w:rsid w:val="00145AAD"/>
    <w:rsid w:val="001464D0"/>
    <w:rsid w:val="00146CFF"/>
    <w:rsid w:val="00146E20"/>
    <w:rsid w:val="00147042"/>
    <w:rsid w:val="001473D3"/>
    <w:rsid w:val="00147593"/>
    <w:rsid w:val="00147667"/>
    <w:rsid w:val="001506FD"/>
    <w:rsid w:val="0015100B"/>
    <w:rsid w:val="0015102E"/>
    <w:rsid w:val="0015112D"/>
    <w:rsid w:val="001518A8"/>
    <w:rsid w:val="00151946"/>
    <w:rsid w:val="00151E17"/>
    <w:rsid w:val="00153DB9"/>
    <w:rsid w:val="00154B90"/>
    <w:rsid w:val="00154C59"/>
    <w:rsid w:val="00155B63"/>
    <w:rsid w:val="00156668"/>
    <w:rsid w:val="001568A5"/>
    <w:rsid w:val="00157AA2"/>
    <w:rsid w:val="00160E37"/>
    <w:rsid w:val="00160E5C"/>
    <w:rsid w:val="0016110C"/>
    <w:rsid w:val="00161309"/>
    <w:rsid w:val="00161B6D"/>
    <w:rsid w:val="001626B6"/>
    <w:rsid w:val="00162A2B"/>
    <w:rsid w:val="00162C6D"/>
    <w:rsid w:val="00163798"/>
    <w:rsid w:val="00163AC5"/>
    <w:rsid w:val="00163DA7"/>
    <w:rsid w:val="0016477A"/>
    <w:rsid w:val="00164EA5"/>
    <w:rsid w:val="00166090"/>
    <w:rsid w:val="00166144"/>
    <w:rsid w:val="00170DA5"/>
    <w:rsid w:val="001717C5"/>
    <w:rsid w:val="00171EC4"/>
    <w:rsid w:val="00174DAE"/>
    <w:rsid w:val="001767C5"/>
    <w:rsid w:val="0017680F"/>
    <w:rsid w:val="00176C61"/>
    <w:rsid w:val="0017713E"/>
    <w:rsid w:val="00177733"/>
    <w:rsid w:val="0018072E"/>
    <w:rsid w:val="0018141C"/>
    <w:rsid w:val="00181578"/>
    <w:rsid w:val="00181B9C"/>
    <w:rsid w:val="00181C20"/>
    <w:rsid w:val="00181D40"/>
    <w:rsid w:val="00182484"/>
    <w:rsid w:val="00182D85"/>
    <w:rsid w:val="00184039"/>
    <w:rsid w:val="00184A3B"/>
    <w:rsid w:val="00184B2D"/>
    <w:rsid w:val="00184D28"/>
    <w:rsid w:val="001872CB"/>
    <w:rsid w:val="00187A33"/>
    <w:rsid w:val="00190DA6"/>
    <w:rsid w:val="00190F61"/>
    <w:rsid w:val="00191763"/>
    <w:rsid w:val="001918A5"/>
    <w:rsid w:val="00191AFD"/>
    <w:rsid w:val="001930B2"/>
    <w:rsid w:val="00193407"/>
    <w:rsid w:val="00193CDF"/>
    <w:rsid w:val="0019429F"/>
    <w:rsid w:val="00194E5B"/>
    <w:rsid w:val="0019542B"/>
    <w:rsid w:val="0019699F"/>
    <w:rsid w:val="00196E41"/>
    <w:rsid w:val="0019776C"/>
    <w:rsid w:val="00197776"/>
    <w:rsid w:val="001A00F9"/>
    <w:rsid w:val="001A01E5"/>
    <w:rsid w:val="001A05AB"/>
    <w:rsid w:val="001A13CC"/>
    <w:rsid w:val="001A1D25"/>
    <w:rsid w:val="001A1F59"/>
    <w:rsid w:val="001A2319"/>
    <w:rsid w:val="001A2379"/>
    <w:rsid w:val="001A3EA8"/>
    <w:rsid w:val="001A4A3A"/>
    <w:rsid w:val="001A544A"/>
    <w:rsid w:val="001A604B"/>
    <w:rsid w:val="001A68F3"/>
    <w:rsid w:val="001A6AA9"/>
    <w:rsid w:val="001A7393"/>
    <w:rsid w:val="001A75C7"/>
    <w:rsid w:val="001A770D"/>
    <w:rsid w:val="001A7808"/>
    <w:rsid w:val="001A799A"/>
    <w:rsid w:val="001A7E75"/>
    <w:rsid w:val="001B025F"/>
    <w:rsid w:val="001B147D"/>
    <w:rsid w:val="001B192E"/>
    <w:rsid w:val="001B1C82"/>
    <w:rsid w:val="001B1E1C"/>
    <w:rsid w:val="001B207F"/>
    <w:rsid w:val="001B2AF5"/>
    <w:rsid w:val="001B2FD5"/>
    <w:rsid w:val="001B3176"/>
    <w:rsid w:val="001B416D"/>
    <w:rsid w:val="001B43C7"/>
    <w:rsid w:val="001B4E90"/>
    <w:rsid w:val="001B4FFA"/>
    <w:rsid w:val="001B5EE1"/>
    <w:rsid w:val="001B6645"/>
    <w:rsid w:val="001B6843"/>
    <w:rsid w:val="001B6BCD"/>
    <w:rsid w:val="001B6D3F"/>
    <w:rsid w:val="001B728C"/>
    <w:rsid w:val="001B7862"/>
    <w:rsid w:val="001B7CCB"/>
    <w:rsid w:val="001C00EF"/>
    <w:rsid w:val="001C0147"/>
    <w:rsid w:val="001C01E0"/>
    <w:rsid w:val="001C0E8B"/>
    <w:rsid w:val="001C125E"/>
    <w:rsid w:val="001C177E"/>
    <w:rsid w:val="001C1CBC"/>
    <w:rsid w:val="001C2E48"/>
    <w:rsid w:val="001C4B82"/>
    <w:rsid w:val="001C5D1D"/>
    <w:rsid w:val="001C6F24"/>
    <w:rsid w:val="001C6FDA"/>
    <w:rsid w:val="001C6FE1"/>
    <w:rsid w:val="001C6FED"/>
    <w:rsid w:val="001C77AC"/>
    <w:rsid w:val="001C790A"/>
    <w:rsid w:val="001D0058"/>
    <w:rsid w:val="001D1129"/>
    <w:rsid w:val="001D1FD0"/>
    <w:rsid w:val="001D23A2"/>
    <w:rsid w:val="001D24AD"/>
    <w:rsid w:val="001D4258"/>
    <w:rsid w:val="001D544D"/>
    <w:rsid w:val="001D6D26"/>
    <w:rsid w:val="001D731D"/>
    <w:rsid w:val="001D74D8"/>
    <w:rsid w:val="001D7B48"/>
    <w:rsid w:val="001D7B62"/>
    <w:rsid w:val="001E0382"/>
    <w:rsid w:val="001E053C"/>
    <w:rsid w:val="001E2207"/>
    <w:rsid w:val="001E37FF"/>
    <w:rsid w:val="001E3934"/>
    <w:rsid w:val="001E3DAF"/>
    <w:rsid w:val="001E42B8"/>
    <w:rsid w:val="001E438E"/>
    <w:rsid w:val="001E47B1"/>
    <w:rsid w:val="001E4C20"/>
    <w:rsid w:val="001E5670"/>
    <w:rsid w:val="001E57AB"/>
    <w:rsid w:val="001E59D6"/>
    <w:rsid w:val="001E63D5"/>
    <w:rsid w:val="001E7103"/>
    <w:rsid w:val="001E7330"/>
    <w:rsid w:val="001E74A1"/>
    <w:rsid w:val="001E74E4"/>
    <w:rsid w:val="001E762B"/>
    <w:rsid w:val="001F06FD"/>
    <w:rsid w:val="001F200A"/>
    <w:rsid w:val="001F2110"/>
    <w:rsid w:val="001F2E44"/>
    <w:rsid w:val="001F2EBD"/>
    <w:rsid w:val="001F2F00"/>
    <w:rsid w:val="001F41BD"/>
    <w:rsid w:val="001F54CB"/>
    <w:rsid w:val="001F6C38"/>
    <w:rsid w:val="001F778D"/>
    <w:rsid w:val="002000B2"/>
    <w:rsid w:val="002010FD"/>
    <w:rsid w:val="002016B8"/>
    <w:rsid w:val="00201BB4"/>
    <w:rsid w:val="00201C6B"/>
    <w:rsid w:val="00202707"/>
    <w:rsid w:val="0020277E"/>
    <w:rsid w:val="00203264"/>
    <w:rsid w:val="00204A89"/>
    <w:rsid w:val="00204CF6"/>
    <w:rsid w:val="00205B02"/>
    <w:rsid w:val="00206232"/>
    <w:rsid w:val="00207128"/>
    <w:rsid w:val="00210430"/>
    <w:rsid w:val="00211B00"/>
    <w:rsid w:val="00211DCF"/>
    <w:rsid w:val="00213416"/>
    <w:rsid w:val="00213B80"/>
    <w:rsid w:val="00213BBA"/>
    <w:rsid w:val="0021490A"/>
    <w:rsid w:val="00214DA0"/>
    <w:rsid w:val="00215388"/>
    <w:rsid w:val="002155E4"/>
    <w:rsid w:val="0021571B"/>
    <w:rsid w:val="00215C41"/>
    <w:rsid w:val="002162C8"/>
    <w:rsid w:val="00216A24"/>
    <w:rsid w:val="00217311"/>
    <w:rsid w:val="0022025A"/>
    <w:rsid w:val="00221EE6"/>
    <w:rsid w:val="0022214D"/>
    <w:rsid w:val="002226FA"/>
    <w:rsid w:val="00222B53"/>
    <w:rsid w:val="00222EF9"/>
    <w:rsid w:val="00223005"/>
    <w:rsid w:val="002233A7"/>
    <w:rsid w:val="002257E0"/>
    <w:rsid w:val="00225D35"/>
    <w:rsid w:val="00225F06"/>
    <w:rsid w:val="0022782C"/>
    <w:rsid w:val="002278DE"/>
    <w:rsid w:val="00227C5D"/>
    <w:rsid w:val="00230DF0"/>
    <w:rsid w:val="00231A7C"/>
    <w:rsid w:val="00232A53"/>
    <w:rsid w:val="00232AA6"/>
    <w:rsid w:val="00232AE4"/>
    <w:rsid w:val="00232DC5"/>
    <w:rsid w:val="002331A2"/>
    <w:rsid w:val="00233511"/>
    <w:rsid w:val="00233822"/>
    <w:rsid w:val="00233A28"/>
    <w:rsid w:val="00234E98"/>
    <w:rsid w:val="00235BF5"/>
    <w:rsid w:val="00235C17"/>
    <w:rsid w:val="00236F28"/>
    <w:rsid w:val="00237298"/>
    <w:rsid w:val="002379FE"/>
    <w:rsid w:val="0024169E"/>
    <w:rsid w:val="00242551"/>
    <w:rsid w:val="002429D0"/>
    <w:rsid w:val="002431FA"/>
    <w:rsid w:val="002432E2"/>
    <w:rsid w:val="00243A3E"/>
    <w:rsid w:val="00244DA9"/>
    <w:rsid w:val="0024551D"/>
    <w:rsid w:val="00246F8D"/>
    <w:rsid w:val="0025005B"/>
    <w:rsid w:val="002508E6"/>
    <w:rsid w:val="00250C45"/>
    <w:rsid w:val="00251716"/>
    <w:rsid w:val="00251EF3"/>
    <w:rsid w:val="00252FBF"/>
    <w:rsid w:val="00254581"/>
    <w:rsid w:val="00254D60"/>
    <w:rsid w:val="00254E52"/>
    <w:rsid w:val="00256BA8"/>
    <w:rsid w:val="00256EB9"/>
    <w:rsid w:val="00257540"/>
    <w:rsid w:val="00257ACE"/>
    <w:rsid w:val="00260CE5"/>
    <w:rsid w:val="00262EB9"/>
    <w:rsid w:val="0026314C"/>
    <w:rsid w:val="00263749"/>
    <w:rsid w:val="00263B85"/>
    <w:rsid w:val="00263E34"/>
    <w:rsid w:val="00266E09"/>
    <w:rsid w:val="00267CAD"/>
    <w:rsid w:val="00267CE3"/>
    <w:rsid w:val="0027196C"/>
    <w:rsid w:val="00271CB8"/>
    <w:rsid w:val="00272574"/>
    <w:rsid w:val="0027399C"/>
    <w:rsid w:val="002739EA"/>
    <w:rsid w:val="00273C31"/>
    <w:rsid w:val="00273CB6"/>
    <w:rsid w:val="00274164"/>
    <w:rsid w:val="00274230"/>
    <w:rsid w:val="00274EB7"/>
    <w:rsid w:val="00275A12"/>
    <w:rsid w:val="00276E04"/>
    <w:rsid w:val="00276ED2"/>
    <w:rsid w:val="00276FFF"/>
    <w:rsid w:val="002775D6"/>
    <w:rsid w:val="00277F41"/>
    <w:rsid w:val="00280158"/>
    <w:rsid w:val="0028078A"/>
    <w:rsid w:val="00280A8C"/>
    <w:rsid w:val="00281851"/>
    <w:rsid w:val="00282055"/>
    <w:rsid w:val="00283C42"/>
    <w:rsid w:val="00283D0E"/>
    <w:rsid w:val="0028420E"/>
    <w:rsid w:val="002849A0"/>
    <w:rsid w:val="0028593D"/>
    <w:rsid w:val="00286958"/>
    <w:rsid w:val="00286BAC"/>
    <w:rsid w:val="00286F40"/>
    <w:rsid w:val="00287A40"/>
    <w:rsid w:val="00290AF1"/>
    <w:rsid w:val="00291012"/>
    <w:rsid w:val="002919C7"/>
    <w:rsid w:val="002927C5"/>
    <w:rsid w:val="0029428A"/>
    <w:rsid w:val="0029447D"/>
    <w:rsid w:val="00294555"/>
    <w:rsid w:val="00294878"/>
    <w:rsid w:val="00295044"/>
    <w:rsid w:val="00295E1D"/>
    <w:rsid w:val="00295E8E"/>
    <w:rsid w:val="002964D2"/>
    <w:rsid w:val="002966A2"/>
    <w:rsid w:val="002968D4"/>
    <w:rsid w:val="002970D7"/>
    <w:rsid w:val="00297F6D"/>
    <w:rsid w:val="002A12E5"/>
    <w:rsid w:val="002A14C4"/>
    <w:rsid w:val="002A1B0C"/>
    <w:rsid w:val="002A20AC"/>
    <w:rsid w:val="002A237B"/>
    <w:rsid w:val="002A2EB4"/>
    <w:rsid w:val="002A3CB9"/>
    <w:rsid w:val="002A57A8"/>
    <w:rsid w:val="002A67D2"/>
    <w:rsid w:val="002A76A3"/>
    <w:rsid w:val="002A7AB9"/>
    <w:rsid w:val="002B009B"/>
    <w:rsid w:val="002B0384"/>
    <w:rsid w:val="002B0B3A"/>
    <w:rsid w:val="002B1554"/>
    <w:rsid w:val="002B1E4C"/>
    <w:rsid w:val="002B1FB2"/>
    <w:rsid w:val="002B2F8D"/>
    <w:rsid w:val="002B3C24"/>
    <w:rsid w:val="002B40C4"/>
    <w:rsid w:val="002B4174"/>
    <w:rsid w:val="002B4C9A"/>
    <w:rsid w:val="002B5167"/>
    <w:rsid w:val="002B5AE0"/>
    <w:rsid w:val="002B5F5D"/>
    <w:rsid w:val="002B6F5D"/>
    <w:rsid w:val="002C088D"/>
    <w:rsid w:val="002C1C21"/>
    <w:rsid w:val="002C2443"/>
    <w:rsid w:val="002C247E"/>
    <w:rsid w:val="002C47F5"/>
    <w:rsid w:val="002C4BA5"/>
    <w:rsid w:val="002C5DA7"/>
    <w:rsid w:val="002C6101"/>
    <w:rsid w:val="002C61BC"/>
    <w:rsid w:val="002C63B8"/>
    <w:rsid w:val="002C640B"/>
    <w:rsid w:val="002C674E"/>
    <w:rsid w:val="002C686A"/>
    <w:rsid w:val="002C6BFB"/>
    <w:rsid w:val="002C769D"/>
    <w:rsid w:val="002C79B4"/>
    <w:rsid w:val="002C7BF3"/>
    <w:rsid w:val="002D09CD"/>
    <w:rsid w:val="002D1350"/>
    <w:rsid w:val="002D1552"/>
    <w:rsid w:val="002D1B7D"/>
    <w:rsid w:val="002D1F91"/>
    <w:rsid w:val="002D2684"/>
    <w:rsid w:val="002D29B4"/>
    <w:rsid w:val="002D2D09"/>
    <w:rsid w:val="002D41CC"/>
    <w:rsid w:val="002D4453"/>
    <w:rsid w:val="002D44A5"/>
    <w:rsid w:val="002D4B8B"/>
    <w:rsid w:val="002D6703"/>
    <w:rsid w:val="002D720F"/>
    <w:rsid w:val="002D7D13"/>
    <w:rsid w:val="002E04BC"/>
    <w:rsid w:val="002E070F"/>
    <w:rsid w:val="002E0B0E"/>
    <w:rsid w:val="002E10A4"/>
    <w:rsid w:val="002E18B4"/>
    <w:rsid w:val="002E1B94"/>
    <w:rsid w:val="002E2358"/>
    <w:rsid w:val="002E23F9"/>
    <w:rsid w:val="002E249B"/>
    <w:rsid w:val="002E2B02"/>
    <w:rsid w:val="002E3AE3"/>
    <w:rsid w:val="002E3D0D"/>
    <w:rsid w:val="002E473C"/>
    <w:rsid w:val="002E4E37"/>
    <w:rsid w:val="002E4F90"/>
    <w:rsid w:val="002E6194"/>
    <w:rsid w:val="002E681A"/>
    <w:rsid w:val="002E6979"/>
    <w:rsid w:val="002E78AD"/>
    <w:rsid w:val="002F1924"/>
    <w:rsid w:val="002F1B10"/>
    <w:rsid w:val="002F1DFA"/>
    <w:rsid w:val="002F30B3"/>
    <w:rsid w:val="002F3136"/>
    <w:rsid w:val="002F33D9"/>
    <w:rsid w:val="002F4A68"/>
    <w:rsid w:val="002F4D6D"/>
    <w:rsid w:val="002F5417"/>
    <w:rsid w:val="002F5B6A"/>
    <w:rsid w:val="002F677F"/>
    <w:rsid w:val="002F6A53"/>
    <w:rsid w:val="002F719C"/>
    <w:rsid w:val="002F7EEC"/>
    <w:rsid w:val="00300195"/>
    <w:rsid w:val="00301869"/>
    <w:rsid w:val="00301A63"/>
    <w:rsid w:val="00301BD1"/>
    <w:rsid w:val="003039E8"/>
    <w:rsid w:val="00303B26"/>
    <w:rsid w:val="00303D3D"/>
    <w:rsid w:val="00304BFB"/>
    <w:rsid w:val="00304D67"/>
    <w:rsid w:val="00305A6D"/>
    <w:rsid w:val="003061A0"/>
    <w:rsid w:val="0030723C"/>
    <w:rsid w:val="0031093A"/>
    <w:rsid w:val="00310B88"/>
    <w:rsid w:val="00310EC8"/>
    <w:rsid w:val="00312B34"/>
    <w:rsid w:val="00312E0E"/>
    <w:rsid w:val="003133D8"/>
    <w:rsid w:val="00313488"/>
    <w:rsid w:val="003138EA"/>
    <w:rsid w:val="00314142"/>
    <w:rsid w:val="003147A4"/>
    <w:rsid w:val="00314ED5"/>
    <w:rsid w:val="00314FDD"/>
    <w:rsid w:val="00315A8C"/>
    <w:rsid w:val="00315ACB"/>
    <w:rsid w:val="00316512"/>
    <w:rsid w:val="00316852"/>
    <w:rsid w:val="0031702E"/>
    <w:rsid w:val="00317D3D"/>
    <w:rsid w:val="00320DF6"/>
    <w:rsid w:val="00321239"/>
    <w:rsid w:val="0032150D"/>
    <w:rsid w:val="0032209B"/>
    <w:rsid w:val="003228E2"/>
    <w:rsid w:val="003228FD"/>
    <w:rsid w:val="00322AAC"/>
    <w:rsid w:val="003233B6"/>
    <w:rsid w:val="00323793"/>
    <w:rsid w:val="00323B15"/>
    <w:rsid w:val="0032405F"/>
    <w:rsid w:val="003246B1"/>
    <w:rsid w:val="003248B2"/>
    <w:rsid w:val="00324FB6"/>
    <w:rsid w:val="00325071"/>
    <w:rsid w:val="003259A4"/>
    <w:rsid w:val="00326107"/>
    <w:rsid w:val="00326BE4"/>
    <w:rsid w:val="00326D27"/>
    <w:rsid w:val="003270C8"/>
    <w:rsid w:val="00327941"/>
    <w:rsid w:val="003301F5"/>
    <w:rsid w:val="00330330"/>
    <w:rsid w:val="00331A3E"/>
    <w:rsid w:val="00331B0B"/>
    <w:rsid w:val="00331D79"/>
    <w:rsid w:val="00332542"/>
    <w:rsid w:val="00332989"/>
    <w:rsid w:val="00332A58"/>
    <w:rsid w:val="00332BC2"/>
    <w:rsid w:val="0033362F"/>
    <w:rsid w:val="003338EB"/>
    <w:rsid w:val="003341CC"/>
    <w:rsid w:val="0033668E"/>
    <w:rsid w:val="00340FF0"/>
    <w:rsid w:val="003420AE"/>
    <w:rsid w:val="00342257"/>
    <w:rsid w:val="003427B4"/>
    <w:rsid w:val="003429D8"/>
    <w:rsid w:val="0034335F"/>
    <w:rsid w:val="00343ABE"/>
    <w:rsid w:val="00343CEE"/>
    <w:rsid w:val="00344212"/>
    <w:rsid w:val="0034471E"/>
    <w:rsid w:val="00344823"/>
    <w:rsid w:val="00344FAF"/>
    <w:rsid w:val="00347385"/>
    <w:rsid w:val="00347424"/>
    <w:rsid w:val="00347503"/>
    <w:rsid w:val="0034763F"/>
    <w:rsid w:val="00350BE1"/>
    <w:rsid w:val="00351053"/>
    <w:rsid w:val="00352350"/>
    <w:rsid w:val="00352629"/>
    <w:rsid w:val="00352653"/>
    <w:rsid w:val="00352688"/>
    <w:rsid w:val="00352AB5"/>
    <w:rsid w:val="00352D02"/>
    <w:rsid w:val="00353169"/>
    <w:rsid w:val="00354104"/>
    <w:rsid w:val="00354675"/>
    <w:rsid w:val="003548D2"/>
    <w:rsid w:val="0035498D"/>
    <w:rsid w:val="00354E86"/>
    <w:rsid w:val="00354FD7"/>
    <w:rsid w:val="00355265"/>
    <w:rsid w:val="0035591D"/>
    <w:rsid w:val="00356A98"/>
    <w:rsid w:val="00356D0F"/>
    <w:rsid w:val="0035720A"/>
    <w:rsid w:val="00357377"/>
    <w:rsid w:val="003573CB"/>
    <w:rsid w:val="0035745B"/>
    <w:rsid w:val="00360A71"/>
    <w:rsid w:val="003611B1"/>
    <w:rsid w:val="00363AFC"/>
    <w:rsid w:val="00364FEB"/>
    <w:rsid w:val="00365E09"/>
    <w:rsid w:val="00366170"/>
    <w:rsid w:val="0036678A"/>
    <w:rsid w:val="00366B01"/>
    <w:rsid w:val="003673EB"/>
    <w:rsid w:val="00367681"/>
    <w:rsid w:val="00370748"/>
    <w:rsid w:val="0037146D"/>
    <w:rsid w:val="00371D10"/>
    <w:rsid w:val="00371ED6"/>
    <w:rsid w:val="00371F31"/>
    <w:rsid w:val="00372121"/>
    <w:rsid w:val="003721C2"/>
    <w:rsid w:val="00372CD5"/>
    <w:rsid w:val="00372D56"/>
    <w:rsid w:val="0037365F"/>
    <w:rsid w:val="00373711"/>
    <w:rsid w:val="00373A50"/>
    <w:rsid w:val="00373D93"/>
    <w:rsid w:val="00374511"/>
    <w:rsid w:val="00375CE7"/>
    <w:rsid w:val="00375CF5"/>
    <w:rsid w:val="00375F5C"/>
    <w:rsid w:val="003771D5"/>
    <w:rsid w:val="0037728C"/>
    <w:rsid w:val="00377803"/>
    <w:rsid w:val="00377FE0"/>
    <w:rsid w:val="00380942"/>
    <w:rsid w:val="003809E9"/>
    <w:rsid w:val="0038189C"/>
    <w:rsid w:val="003825B1"/>
    <w:rsid w:val="003825FA"/>
    <w:rsid w:val="003848D4"/>
    <w:rsid w:val="00385DCD"/>
    <w:rsid w:val="00386390"/>
    <w:rsid w:val="00387D27"/>
    <w:rsid w:val="00390A5C"/>
    <w:rsid w:val="003913E0"/>
    <w:rsid w:val="00391D51"/>
    <w:rsid w:val="00391F7E"/>
    <w:rsid w:val="003923BB"/>
    <w:rsid w:val="00392708"/>
    <w:rsid w:val="00393838"/>
    <w:rsid w:val="00395D04"/>
    <w:rsid w:val="00395FCC"/>
    <w:rsid w:val="00396DC3"/>
    <w:rsid w:val="00397407"/>
    <w:rsid w:val="003978B1"/>
    <w:rsid w:val="003A0EAF"/>
    <w:rsid w:val="003A16DB"/>
    <w:rsid w:val="003A1DAF"/>
    <w:rsid w:val="003A250C"/>
    <w:rsid w:val="003A2584"/>
    <w:rsid w:val="003A30B0"/>
    <w:rsid w:val="003A3C94"/>
    <w:rsid w:val="003A48F5"/>
    <w:rsid w:val="003A5A56"/>
    <w:rsid w:val="003A6B57"/>
    <w:rsid w:val="003A74A7"/>
    <w:rsid w:val="003A7C55"/>
    <w:rsid w:val="003A7DA7"/>
    <w:rsid w:val="003A7EFF"/>
    <w:rsid w:val="003B0652"/>
    <w:rsid w:val="003B15B2"/>
    <w:rsid w:val="003B168A"/>
    <w:rsid w:val="003B2F09"/>
    <w:rsid w:val="003B3851"/>
    <w:rsid w:val="003B3D99"/>
    <w:rsid w:val="003B45CA"/>
    <w:rsid w:val="003B47CB"/>
    <w:rsid w:val="003B4806"/>
    <w:rsid w:val="003B4F91"/>
    <w:rsid w:val="003B5551"/>
    <w:rsid w:val="003B6909"/>
    <w:rsid w:val="003B6AF8"/>
    <w:rsid w:val="003C0EBC"/>
    <w:rsid w:val="003C1073"/>
    <w:rsid w:val="003C20F2"/>
    <w:rsid w:val="003C243D"/>
    <w:rsid w:val="003C3758"/>
    <w:rsid w:val="003C376B"/>
    <w:rsid w:val="003C3C59"/>
    <w:rsid w:val="003C3DEA"/>
    <w:rsid w:val="003C6963"/>
    <w:rsid w:val="003C6E84"/>
    <w:rsid w:val="003D01BD"/>
    <w:rsid w:val="003D1356"/>
    <w:rsid w:val="003D15CE"/>
    <w:rsid w:val="003D1710"/>
    <w:rsid w:val="003D262E"/>
    <w:rsid w:val="003D2E41"/>
    <w:rsid w:val="003D3C3B"/>
    <w:rsid w:val="003D42C3"/>
    <w:rsid w:val="003D47B4"/>
    <w:rsid w:val="003D4B83"/>
    <w:rsid w:val="003D532F"/>
    <w:rsid w:val="003D5A66"/>
    <w:rsid w:val="003D5BE0"/>
    <w:rsid w:val="003D62D1"/>
    <w:rsid w:val="003D6AFD"/>
    <w:rsid w:val="003D7427"/>
    <w:rsid w:val="003D7E7E"/>
    <w:rsid w:val="003E052C"/>
    <w:rsid w:val="003E0A2B"/>
    <w:rsid w:val="003E10D8"/>
    <w:rsid w:val="003E12A5"/>
    <w:rsid w:val="003E2A71"/>
    <w:rsid w:val="003E3B3D"/>
    <w:rsid w:val="003E4F29"/>
    <w:rsid w:val="003E57DF"/>
    <w:rsid w:val="003E6BDF"/>
    <w:rsid w:val="003E70A0"/>
    <w:rsid w:val="003E725C"/>
    <w:rsid w:val="003E72AC"/>
    <w:rsid w:val="003E787D"/>
    <w:rsid w:val="003F0B8F"/>
    <w:rsid w:val="003F1633"/>
    <w:rsid w:val="003F1CB1"/>
    <w:rsid w:val="003F23EC"/>
    <w:rsid w:val="003F285F"/>
    <w:rsid w:val="003F29A2"/>
    <w:rsid w:val="003F2BA0"/>
    <w:rsid w:val="003F2BC7"/>
    <w:rsid w:val="003F312B"/>
    <w:rsid w:val="003F3235"/>
    <w:rsid w:val="003F36FD"/>
    <w:rsid w:val="003F560E"/>
    <w:rsid w:val="003F5733"/>
    <w:rsid w:val="003F5835"/>
    <w:rsid w:val="003F7B80"/>
    <w:rsid w:val="00400169"/>
    <w:rsid w:val="0040030C"/>
    <w:rsid w:val="004003CD"/>
    <w:rsid w:val="00401755"/>
    <w:rsid w:val="00401B1A"/>
    <w:rsid w:val="00402F50"/>
    <w:rsid w:val="004032B4"/>
    <w:rsid w:val="00403360"/>
    <w:rsid w:val="004037C5"/>
    <w:rsid w:val="00404131"/>
    <w:rsid w:val="00404E7B"/>
    <w:rsid w:val="00404F8C"/>
    <w:rsid w:val="00405784"/>
    <w:rsid w:val="00406156"/>
    <w:rsid w:val="0040632C"/>
    <w:rsid w:val="00406BD1"/>
    <w:rsid w:val="00407827"/>
    <w:rsid w:val="00407F0C"/>
    <w:rsid w:val="00407FC8"/>
    <w:rsid w:val="004102B7"/>
    <w:rsid w:val="004105B4"/>
    <w:rsid w:val="0041104E"/>
    <w:rsid w:val="004122AD"/>
    <w:rsid w:val="0041248D"/>
    <w:rsid w:val="004133CA"/>
    <w:rsid w:val="0041353F"/>
    <w:rsid w:val="0041373F"/>
    <w:rsid w:val="004144F2"/>
    <w:rsid w:val="00414783"/>
    <w:rsid w:val="00414C20"/>
    <w:rsid w:val="0041558E"/>
    <w:rsid w:val="0041680C"/>
    <w:rsid w:val="004168A6"/>
    <w:rsid w:val="00416EF9"/>
    <w:rsid w:val="004172AC"/>
    <w:rsid w:val="00417487"/>
    <w:rsid w:val="00417D17"/>
    <w:rsid w:val="00417E7D"/>
    <w:rsid w:val="00417F6E"/>
    <w:rsid w:val="00420579"/>
    <w:rsid w:val="004205B8"/>
    <w:rsid w:val="00420CBF"/>
    <w:rsid w:val="00420FCC"/>
    <w:rsid w:val="00421618"/>
    <w:rsid w:val="00421A25"/>
    <w:rsid w:val="00422981"/>
    <w:rsid w:val="00423420"/>
    <w:rsid w:val="00424FBE"/>
    <w:rsid w:val="004253FC"/>
    <w:rsid w:val="0042576C"/>
    <w:rsid w:val="00426D9F"/>
    <w:rsid w:val="004271D9"/>
    <w:rsid w:val="00427917"/>
    <w:rsid w:val="00432744"/>
    <w:rsid w:val="00434852"/>
    <w:rsid w:val="004352F4"/>
    <w:rsid w:val="00435CA0"/>
    <w:rsid w:val="00435E4E"/>
    <w:rsid w:val="0043717C"/>
    <w:rsid w:val="00437D9C"/>
    <w:rsid w:val="00440CDC"/>
    <w:rsid w:val="004414D2"/>
    <w:rsid w:val="00442357"/>
    <w:rsid w:val="0044243B"/>
    <w:rsid w:val="00442454"/>
    <w:rsid w:val="00444E25"/>
    <w:rsid w:val="00444F1D"/>
    <w:rsid w:val="00445146"/>
    <w:rsid w:val="004455F0"/>
    <w:rsid w:val="004457CE"/>
    <w:rsid w:val="00445E00"/>
    <w:rsid w:val="00445F70"/>
    <w:rsid w:val="004463C2"/>
    <w:rsid w:val="00446559"/>
    <w:rsid w:val="004465DE"/>
    <w:rsid w:val="00450169"/>
    <w:rsid w:val="00450458"/>
    <w:rsid w:val="004514FF"/>
    <w:rsid w:val="00452016"/>
    <w:rsid w:val="0045261C"/>
    <w:rsid w:val="00453105"/>
    <w:rsid w:val="00453B05"/>
    <w:rsid w:val="00455042"/>
    <w:rsid w:val="00456088"/>
    <w:rsid w:val="00456BF4"/>
    <w:rsid w:val="00456E19"/>
    <w:rsid w:val="00457681"/>
    <w:rsid w:val="004616D4"/>
    <w:rsid w:val="00461D17"/>
    <w:rsid w:val="004632DD"/>
    <w:rsid w:val="00463630"/>
    <w:rsid w:val="00463A62"/>
    <w:rsid w:val="00463AAD"/>
    <w:rsid w:val="00463C55"/>
    <w:rsid w:val="004650A2"/>
    <w:rsid w:val="00465274"/>
    <w:rsid w:val="004656CD"/>
    <w:rsid w:val="004658B0"/>
    <w:rsid w:val="00465A45"/>
    <w:rsid w:val="004674F5"/>
    <w:rsid w:val="00470833"/>
    <w:rsid w:val="00470887"/>
    <w:rsid w:val="004708A1"/>
    <w:rsid w:val="00472560"/>
    <w:rsid w:val="00472713"/>
    <w:rsid w:val="00472EA3"/>
    <w:rsid w:val="00473112"/>
    <w:rsid w:val="004735EC"/>
    <w:rsid w:val="004736AF"/>
    <w:rsid w:val="00473EDC"/>
    <w:rsid w:val="004742E1"/>
    <w:rsid w:val="00474EEB"/>
    <w:rsid w:val="00475726"/>
    <w:rsid w:val="004759D0"/>
    <w:rsid w:val="0047675F"/>
    <w:rsid w:val="00476CC9"/>
    <w:rsid w:val="00477293"/>
    <w:rsid w:val="004774D7"/>
    <w:rsid w:val="00477783"/>
    <w:rsid w:val="004778BD"/>
    <w:rsid w:val="00480E3C"/>
    <w:rsid w:val="00480ED0"/>
    <w:rsid w:val="00480F1C"/>
    <w:rsid w:val="004810AE"/>
    <w:rsid w:val="004814A1"/>
    <w:rsid w:val="00481661"/>
    <w:rsid w:val="00481716"/>
    <w:rsid w:val="00481AAE"/>
    <w:rsid w:val="0048295F"/>
    <w:rsid w:val="00482E3E"/>
    <w:rsid w:val="00482EC4"/>
    <w:rsid w:val="00483C7E"/>
    <w:rsid w:val="0048472B"/>
    <w:rsid w:val="00484E7B"/>
    <w:rsid w:val="00485599"/>
    <w:rsid w:val="00485E0A"/>
    <w:rsid w:val="00485ECF"/>
    <w:rsid w:val="0048626A"/>
    <w:rsid w:val="004867AA"/>
    <w:rsid w:val="00487113"/>
    <w:rsid w:val="00490A4B"/>
    <w:rsid w:val="00491586"/>
    <w:rsid w:val="00492F92"/>
    <w:rsid w:val="00493122"/>
    <w:rsid w:val="004953E6"/>
    <w:rsid w:val="00495989"/>
    <w:rsid w:val="004975B7"/>
    <w:rsid w:val="00497A50"/>
    <w:rsid w:val="004A1745"/>
    <w:rsid w:val="004A182B"/>
    <w:rsid w:val="004A1CB0"/>
    <w:rsid w:val="004A2F8F"/>
    <w:rsid w:val="004A401F"/>
    <w:rsid w:val="004A40FA"/>
    <w:rsid w:val="004A4856"/>
    <w:rsid w:val="004A5CC4"/>
    <w:rsid w:val="004A5EB7"/>
    <w:rsid w:val="004A6EE2"/>
    <w:rsid w:val="004A7E75"/>
    <w:rsid w:val="004B02A5"/>
    <w:rsid w:val="004B0F9C"/>
    <w:rsid w:val="004B1220"/>
    <w:rsid w:val="004B1676"/>
    <w:rsid w:val="004B171C"/>
    <w:rsid w:val="004B17C0"/>
    <w:rsid w:val="004B21A8"/>
    <w:rsid w:val="004B5B98"/>
    <w:rsid w:val="004B5E19"/>
    <w:rsid w:val="004B785C"/>
    <w:rsid w:val="004B7C33"/>
    <w:rsid w:val="004C01BE"/>
    <w:rsid w:val="004C0A87"/>
    <w:rsid w:val="004C0AB4"/>
    <w:rsid w:val="004C147A"/>
    <w:rsid w:val="004C286F"/>
    <w:rsid w:val="004C28C7"/>
    <w:rsid w:val="004C3BC6"/>
    <w:rsid w:val="004C45CF"/>
    <w:rsid w:val="004C4697"/>
    <w:rsid w:val="004C51EA"/>
    <w:rsid w:val="004C51EE"/>
    <w:rsid w:val="004C575D"/>
    <w:rsid w:val="004C6CCD"/>
    <w:rsid w:val="004C6D7A"/>
    <w:rsid w:val="004C6D95"/>
    <w:rsid w:val="004C6ECD"/>
    <w:rsid w:val="004C74F8"/>
    <w:rsid w:val="004C7DFD"/>
    <w:rsid w:val="004D0334"/>
    <w:rsid w:val="004D056C"/>
    <w:rsid w:val="004D08E4"/>
    <w:rsid w:val="004D09EA"/>
    <w:rsid w:val="004D115A"/>
    <w:rsid w:val="004D1855"/>
    <w:rsid w:val="004D2579"/>
    <w:rsid w:val="004D34BC"/>
    <w:rsid w:val="004D3870"/>
    <w:rsid w:val="004D3A4A"/>
    <w:rsid w:val="004D3F43"/>
    <w:rsid w:val="004D5635"/>
    <w:rsid w:val="004D5B78"/>
    <w:rsid w:val="004D62BC"/>
    <w:rsid w:val="004D639C"/>
    <w:rsid w:val="004D63F4"/>
    <w:rsid w:val="004D6500"/>
    <w:rsid w:val="004D7396"/>
    <w:rsid w:val="004D77A4"/>
    <w:rsid w:val="004D7DD7"/>
    <w:rsid w:val="004D7FD4"/>
    <w:rsid w:val="004E0515"/>
    <w:rsid w:val="004E0C68"/>
    <w:rsid w:val="004E1898"/>
    <w:rsid w:val="004E1EC0"/>
    <w:rsid w:val="004E23B7"/>
    <w:rsid w:val="004E353C"/>
    <w:rsid w:val="004E4F86"/>
    <w:rsid w:val="004F033B"/>
    <w:rsid w:val="004F038F"/>
    <w:rsid w:val="004F0D10"/>
    <w:rsid w:val="004F1389"/>
    <w:rsid w:val="004F2139"/>
    <w:rsid w:val="004F25B0"/>
    <w:rsid w:val="004F2CB1"/>
    <w:rsid w:val="004F3118"/>
    <w:rsid w:val="004F324F"/>
    <w:rsid w:val="004F32D3"/>
    <w:rsid w:val="004F3647"/>
    <w:rsid w:val="004F401D"/>
    <w:rsid w:val="004F4A36"/>
    <w:rsid w:val="004F6B57"/>
    <w:rsid w:val="004F7488"/>
    <w:rsid w:val="004F75E8"/>
    <w:rsid w:val="00500790"/>
    <w:rsid w:val="00500FB7"/>
    <w:rsid w:val="0050132A"/>
    <w:rsid w:val="005015A7"/>
    <w:rsid w:val="005019DB"/>
    <w:rsid w:val="00501B38"/>
    <w:rsid w:val="00501D09"/>
    <w:rsid w:val="005021BF"/>
    <w:rsid w:val="00502A94"/>
    <w:rsid w:val="00502C7B"/>
    <w:rsid w:val="00502FD3"/>
    <w:rsid w:val="00503716"/>
    <w:rsid w:val="00504E2E"/>
    <w:rsid w:val="005050AA"/>
    <w:rsid w:val="0050609E"/>
    <w:rsid w:val="00506B4F"/>
    <w:rsid w:val="00511344"/>
    <w:rsid w:val="00511BCB"/>
    <w:rsid w:val="00511D28"/>
    <w:rsid w:val="00512004"/>
    <w:rsid w:val="0051218F"/>
    <w:rsid w:val="00512676"/>
    <w:rsid w:val="00512953"/>
    <w:rsid w:val="00513674"/>
    <w:rsid w:val="00513B2E"/>
    <w:rsid w:val="00514625"/>
    <w:rsid w:val="00514AA2"/>
    <w:rsid w:val="0051580A"/>
    <w:rsid w:val="0051589C"/>
    <w:rsid w:val="00515B0E"/>
    <w:rsid w:val="005167CC"/>
    <w:rsid w:val="00516B7D"/>
    <w:rsid w:val="00516BA1"/>
    <w:rsid w:val="0051730B"/>
    <w:rsid w:val="00517C24"/>
    <w:rsid w:val="00517CDE"/>
    <w:rsid w:val="00521D2C"/>
    <w:rsid w:val="00522364"/>
    <w:rsid w:val="00522E15"/>
    <w:rsid w:val="005230EC"/>
    <w:rsid w:val="00523CAA"/>
    <w:rsid w:val="00524005"/>
    <w:rsid w:val="005241E3"/>
    <w:rsid w:val="00524B3B"/>
    <w:rsid w:val="00524D29"/>
    <w:rsid w:val="005252CD"/>
    <w:rsid w:val="00525559"/>
    <w:rsid w:val="005257C0"/>
    <w:rsid w:val="005257F7"/>
    <w:rsid w:val="00525BEB"/>
    <w:rsid w:val="005262EB"/>
    <w:rsid w:val="005268FC"/>
    <w:rsid w:val="005269E3"/>
    <w:rsid w:val="00527220"/>
    <w:rsid w:val="00527D8D"/>
    <w:rsid w:val="00530581"/>
    <w:rsid w:val="00531E7B"/>
    <w:rsid w:val="00532BF6"/>
    <w:rsid w:val="00533A25"/>
    <w:rsid w:val="00533DC2"/>
    <w:rsid w:val="0053420B"/>
    <w:rsid w:val="00534632"/>
    <w:rsid w:val="00536552"/>
    <w:rsid w:val="00537239"/>
    <w:rsid w:val="0053797D"/>
    <w:rsid w:val="00537CA4"/>
    <w:rsid w:val="005402F0"/>
    <w:rsid w:val="005406EC"/>
    <w:rsid w:val="005409B6"/>
    <w:rsid w:val="00540B7E"/>
    <w:rsid w:val="00540C65"/>
    <w:rsid w:val="0054113F"/>
    <w:rsid w:val="005413C8"/>
    <w:rsid w:val="00542B8B"/>
    <w:rsid w:val="00542D63"/>
    <w:rsid w:val="00543951"/>
    <w:rsid w:val="0054481D"/>
    <w:rsid w:val="0054527F"/>
    <w:rsid w:val="00545351"/>
    <w:rsid w:val="005457C6"/>
    <w:rsid w:val="00545BD6"/>
    <w:rsid w:val="005464B4"/>
    <w:rsid w:val="0054660E"/>
    <w:rsid w:val="00546973"/>
    <w:rsid w:val="00546A79"/>
    <w:rsid w:val="0054701F"/>
    <w:rsid w:val="005473CC"/>
    <w:rsid w:val="00547B18"/>
    <w:rsid w:val="00550495"/>
    <w:rsid w:val="00550E87"/>
    <w:rsid w:val="005529E6"/>
    <w:rsid w:val="00552FD1"/>
    <w:rsid w:val="00555570"/>
    <w:rsid w:val="0055601B"/>
    <w:rsid w:val="005565F6"/>
    <w:rsid w:val="00556D30"/>
    <w:rsid w:val="005577F5"/>
    <w:rsid w:val="0056077B"/>
    <w:rsid w:val="00562231"/>
    <w:rsid w:val="0056226F"/>
    <w:rsid w:val="00563344"/>
    <w:rsid w:val="00563349"/>
    <w:rsid w:val="00563599"/>
    <w:rsid w:val="00563E76"/>
    <w:rsid w:val="0056437B"/>
    <w:rsid w:val="00564402"/>
    <w:rsid w:val="00565243"/>
    <w:rsid w:val="0056547B"/>
    <w:rsid w:val="0056556E"/>
    <w:rsid w:val="00565575"/>
    <w:rsid w:val="00565E83"/>
    <w:rsid w:val="005664C4"/>
    <w:rsid w:val="00566937"/>
    <w:rsid w:val="00566E89"/>
    <w:rsid w:val="00567431"/>
    <w:rsid w:val="00570561"/>
    <w:rsid w:val="005707FD"/>
    <w:rsid w:val="00570C28"/>
    <w:rsid w:val="00571D82"/>
    <w:rsid w:val="00572CE7"/>
    <w:rsid w:val="0057363B"/>
    <w:rsid w:val="00573A95"/>
    <w:rsid w:val="00573F43"/>
    <w:rsid w:val="00574583"/>
    <w:rsid w:val="00574C32"/>
    <w:rsid w:val="00574D5F"/>
    <w:rsid w:val="0057503C"/>
    <w:rsid w:val="00576793"/>
    <w:rsid w:val="00576FEE"/>
    <w:rsid w:val="00577072"/>
    <w:rsid w:val="00577297"/>
    <w:rsid w:val="005777DB"/>
    <w:rsid w:val="00577849"/>
    <w:rsid w:val="005801C0"/>
    <w:rsid w:val="005802C9"/>
    <w:rsid w:val="00580BBE"/>
    <w:rsid w:val="0058114C"/>
    <w:rsid w:val="00583070"/>
    <w:rsid w:val="005835A0"/>
    <w:rsid w:val="0058364F"/>
    <w:rsid w:val="00583708"/>
    <w:rsid w:val="00583F67"/>
    <w:rsid w:val="0058467B"/>
    <w:rsid w:val="005848F9"/>
    <w:rsid w:val="005858DE"/>
    <w:rsid w:val="00585BA4"/>
    <w:rsid w:val="00586686"/>
    <w:rsid w:val="00586C6A"/>
    <w:rsid w:val="00586CBF"/>
    <w:rsid w:val="00586F3C"/>
    <w:rsid w:val="00587251"/>
    <w:rsid w:val="005875C9"/>
    <w:rsid w:val="00587856"/>
    <w:rsid w:val="00587C97"/>
    <w:rsid w:val="005905E9"/>
    <w:rsid w:val="00591546"/>
    <w:rsid w:val="0059242E"/>
    <w:rsid w:val="00593800"/>
    <w:rsid w:val="005947AD"/>
    <w:rsid w:val="00596676"/>
    <w:rsid w:val="00596CA8"/>
    <w:rsid w:val="00597796"/>
    <w:rsid w:val="005A0495"/>
    <w:rsid w:val="005A0C72"/>
    <w:rsid w:val="005A14FA"/>
    <w:rsid w:val="005A1BFF"/>
    <w:rsid w:val="005A2086"/>
    <w:rsid w:val="005A410D"/>
    <w:rsid w:val="005A431C"/>
    <w:rsid w:val="005A48B8"/>
    <w:rsid w:val="005A69FC"/>
    <w:rsid w:val="005A7F6C"/>
    <w:rsid w:val="005B06DA"/>
    <w:rsid w:val="005B1235"/>
    <w:rsid w:val="005B158E"/>
    <w:rsid w:val="005B2416"/>
    <w:rsid w:val="005B2BB3"/>
    <w:rsid w:val="005B39B5"/>
    <w:rsid w:val="005B3CE8"/>
    <w:rsid w:val="005B42FC"/>
    <w:rsid w:val="005B44D4"/>
    <w:rsid w:val="005B6269"/>
    <w:rsid w:val="005B66FF"/>
    <w:rsid w:val="005B6C0D"/>
    <w:rsid w:val="005B6D71"/>
    <w:rsid w:val="005B72F4"/>
    <w:rsid w:val="005C0E71"/>
    <w:rsid w:val="005C1447"/>
    <w:rsid w:val="005C188E"/>
    <w:rsid w:val="005C18E3"/>
    <w:rsid w:val="005C19A4"/>
    <w:rsid w:val="005C2074"/>
    <w:rsid w:val="005C26C2"/>
    <w:rsid w:val="005C2D3C"/>
    <w:rsid w:val="005C2E5A"/>
    <w:rsid w:val="005C4715"/>
    <w:rsid w:val="005C4AFD"/>
    <w:rsid w:val="005C51CC"/>
    <w:rsid w:val="005C6370"/>
    <w:rsid w:val="005C6C66"/>
    <w:rsid w:val="005C77F9"/>
    <w:rsid w:val="005C7AAB"/>
    <w:rsid w:val="005D06D9"/>
    <w:rsid w:val="005D06F7"/>
    <w:rsid w:val="005D08B9"/>
    <w:rsid w:val="005D2FFA"/>
    <w:rsid w:val="005D3546"/>
    <w:rsid w:val="005D5112"/>
    <w:rsid w:val="005D78B9"/>
    <w:rsid w:val="005D7FF5"/>
    <w:rsid w:val="005E0C32"/>
    <w:rsid w:val="005E1E36"/>
    <w:rsid w:val="005E341A"/>
    <w:rsid w:val="005E361B"/>
    <w:rsid w:val="005E484B"/>
    <w:rsid w:val="005E4995"/>
    <w:rsid w:val="005E5800"/>
    <w:rsid w:val="005E6BAF"/>
    <w:rsid w:val="005E6DC6"/>
    <w:rsid w:val="005E6DD5"/>
    <w:rsid w:val="005E7E9B"/>
    <w:rsid w:val="005F0425"/>
    <w:rsid w:val="005F087C"/>
    <w:rsid w:val="005F0A86"/>
    <w:rsid w:val="005F0F32"/>
    <w:rsid w:val="005F2896"/>
    <w:rsid w:val="005F3781"/>
    <w:rsid w:val="005F4543"/>
    <w:rsid w:val="005F4AD7"/>
    <w:rsid w:val="005F4C9F"/>
    <w:rsid w:val="005F55E9"/>
    <w:rsid w:val="005F5DC1"/>
    <w:rsid w:val="005F5F27"/>
    <w:rsid w:val="005F68CC"/>
    <w:rsid w:val="005F7C43"/>
    <w:rsid w:val="0060071D"/>
    <w:rsid w:val="006010D7"/>
    <w:rsid w:val="00601DF5"/>
    <w:rsid w:val="006022AF"/>
    <w:rsid w:val="00602958"/>
    <w:rsid w:val="00602A24"/>
    <w:rsid w:val="00602A43"/>
    <w:rsid w:val="00602B08"/>
    <w:rsid w:val="006038B4"/>
    <w:rsid w:val="00604132"/>
    <w:rsid w:val="0060467D"/>
    <w:rsid w:val="00605575"/>
    <w:rsid w:val="00605EC2"/>
    <w:rsid w:val="006070B2"/>
    <w:rsid w:val="00607BC4"/>
    <w:rsid w:val="00611205"/>
    <w:rsid w:val="00611AC3"/>
    <w:rsid w:val="00611CFA"/>
    <w:rsid w:val="006121D8"/>
    <w:rsid w:val="00612515"/>
    <w:rsid w:val="00612F74"/>
    <w:rsid w:val="00614751"/>
    <w:rsid w:val="00614BD7"/>
    <w:rsid w:val="00615F76"/>
    <w:rsid w:val="00616249"/>
    <w:rsid w:val="00616621"/>
    <w:rsid w:val="006177A3"/>
    <w:rsid w:val="006215B5"/>
    <w:rsid w:val="0062184D"/>
    <w:rsid w:val="00621CEA"/>
    <w:rsid w:val="00621E18"/>
    <w:rsid w:val="00623951"/>
    <w:rsid w:val="00624225"/>
    <w:rsid w:val="006255D8"/>
    <w:rsid w:val="006266FC"/>
    <w:rsid w:val="00626751"/>
    <w:rsid w:val="00626B53"/>
    <w:rsid w:val="00627435"/>
    <w:rsid w:val="006274F4"/>
    <w:rsid w:val="006275A1"/>
    <w:rsid w:val="00627E7B"/>
    <w:rsid w:val="0063049D"/>
    <w:rsid w:val="00630F94"/>
    <w:rsid w:val="0063179C"/>
    <w:rsid w:val="00632B51"/>
    <w:rsid w:val="006338C9"/>
    <w:rsid w:val="0063399A"/>
    <w:rsid w:val="00633EAA"/>
    <w:rsid w:val="00635FE6"/>
    <w:rsid w:val="0063611D"/>
    <w:rsid w:val="00636D3B"/>
    <w:rsid w:val="006370A9"/>
    <w:rsid w:val="00637CF4"/>
    <w:rsid w:val="00640E7E"/>
    <w:rsid w:val="00641093"/>
    <w:rsid w:val="006410E3"/>
    <w:rsid w:val="00642210"/>
    <w:rsid w:val="00642428"/>
    <w:rsid w:val="00642EDE"/>
    <w:rsid w:val="006449CC"/>
    <w:rsid w:val="00644EE4"/>
    <w:rsid w:val="0064570D"/>
    <w:rsid w:val="006460EB"/>
    <w:rsid w:val="006461AD"/>
    <w:rsid w:val="0064651E"/>
    <w:rsid w:val="0064686D"/>
    <w:rsid w:val="006468D2"/>
    <w:rsid w:val="006469F8"/>
    <w:rsid w:val="00646BDB"/>
    <w:rsid w:val="00647E4B"/>
    <w:rsid w:val="0065043A"/>
    <w:rsid w:val="006511E0"/>
    <w:rsid w:val="00651B2F"/>
    <w:rsid w:val="00652113"/>
    <w:rsid w:val="00652A8B"/>
    <w:rsid w:val="00652FA4"/>
    <w:rsid w:val="006533EC"/>
    <w:rsid w:val="00653CBD"/>
    <w:rsid w:val="00654F67"/>
    <w:rsid w:val="006551BB"/>
    <w:rsid w:val="00655A0B"/>
    <w:rsid w:val="00655C52"/>
    <w:rsid w:val="00656BFE"/>
    <w:rsid w:val="006571F5"/>
    <w:rsid w:val="00660500"/>
    <w:rsid w:val="0066075B"/>
    <w:rsid w:val="006608A7"/>
    <w:rsid w:val="00660D34"/>
    <w:rsid w:val="00661587"/>
    <w:rsid w:val="00662094"/>
    <w:rsid w:val="00662704"/>
    <w:rsid w:val="00662909"/>
    <w:rsid w:val="006635B4"/>
    <w:rsid w:val="00663DE5"/>
    <w:rsid w:val="00664BB4"/>
    <w:rsid w:val="00664C2E"/>
    <w:rsid w:val="00664D10"/>
    <w:rsid w:val="0066727D"/>
    <w:rsid w:val="006707C6"/>
    <w:rsid w:val="006710B5"/>
    <w:rsid w:val="0067146B"/>
    <w:rsid w:val="006715A1"/>
    <w:rsid w:val="00671E10"/>
    <w:rsid w:val="00672104"/>
    <w:rsid w:val="006721DB"/>
    <w:rsid w:val="00672A21"/>
    <w:rsid w:val="00673023"/>
    <w:rsid w:val="006732A3"/>
    <w:rsid w:val="00674E96"/>
    <w:rsid w:val="00674EF1"/>
    <w:rsid w:val="006761DF"/>
    <w:rsid w:val="00676354"/>
    <w:rsid w:val="00676381"/>
    <w:rsid w:val="006768AE"/>
    <w:rsid w:val="00677351"/>
    <w:rsid w:val="00677597"/>
    <w:rsid w:val="006800E9"/>
    <w:rsid w:val="006808C5"/>
    <w:rsid w:val="00680DA2"/>
    <w:rsid w:val="006812F2"/>
    <w:rsid w:val="00682815"/>
    <w:rsid w:val="00682873"/>
    <w:rsid w:val="0068381C"/>
    <w:rsid w:val="0068389C"/>
    <w:rsid w:val="00683E00"/>
    <w:rsid w:val="00684ACC"/>
    <w:rsid w:val="00685883"/>
    <w:rsid w:val="00685A34"/>
    <w:rsid w:val="00685C2F"/>
    <w:rsid w:val="00685D0E"/>
    <w:rsid w:val="0068660A"/>
    <w:rsid w:val="0068713F"/>
    <w:rsid w:val="00687472"/>
    <w:rsid w:val="006874C6"/>
    <w:rsid w:val="0068750B"/>
    <w:rsid w:val="00687A00"/>
    <w:rsid w:val="00690612"/>
    <w:rsid w:val="00690C33"/>
    <w:rsid w:val="00691251"/>
    <w:rsid w:val="0069221A"/>
    <w:rsid w:val="00692656"/>
    <w:rsid w:val="00692963"/>
    <w:rsid w:val="006940EC"/>
    <w:rsid w:val="00694881"/>
    <w:rsid w:val="006956E8"/>
    <w:rsid w:val="0069731C"/>
    <w:rsid w:val="006979AA"/>
    <w:rsid w:val="006A0087"/>
    <w:rsid w:val="006A0464"/>
    <w:rsid w:val="006A0E71"/>
    <w:rsid w:val="006A23D5"/>
    <w:rsid w:val="006A30EF"/>
    <w:rsid w:val="006A32B8"/>
    <w:rsid w:val="006A35D1"/>
    <w:rsid w:val="006A376B"/>
    <w:rsid w:val="006A38D7"/>
    <w:rsid w:val="006A41F5"/>
    <w:rsid w:val="006A4C87"/>
    <w:rsid w:val="006A56E7"/>
    <w:rsid w:val="006A5985"/>
    <w:rsid w:val="006A5D60"/>
    <w:rsid w:val="006A72A7"/>
    <w:rsid w:val="006A747D"/>
    <w:rsid w:val="006B1CC5"/>
    <w:rsid w:val="006B31BD"/>
    <w:rsid w:val="006B35EF"/>
    <w:rsid w:val="006B3632"/>
    <w:rsid w:val="006B3EE3"/>
    <w:rsid w:val="006B3F7F"/>
    <w:rsid w:val="006B46D9"/>
    <w:rsid w:val="006B4F6B"/>
    <w:rsid w:val="006B5514"/>
    <w:rsid w:val="006B5E9B"/>
    <w:rsid w:val="006B6658"/>
    <w:rsid w:val="006B722F"/>
    <w:rsid w:val="006B782B"/>
    <w:rsid w:val="006B78C7"/>
    <w:rsid w:val="006B78D2"/>
    <w:rsid w:val="006B7AF8"/>
    <w:rsid w:val="006B7F6D"/>
    <w:rsid w:val="006C0C52"/>
    <w:rsid w:val="006C0DF0"/>
    <w:rsid w:val="006C122B"/>
    <w:rsid w:val="006C12F4"/>
    <w:rsid w:val="006C1650"/>
    <w:rsid w:val="006C1D7C"/>
    <w:rsid w:val="006C2620"/>
    <w:rsid w:val="006C2B90"/>
    <w:rsid w:val="006C32B2"/>
    <w:rsid w:val="006C38DF"/>
    <w:rsid w:val="006C643B"/>
    <w:rsid w:val="006C6C41"/>
    <w:rsid w:val="006C7764"/>
    <w:rsid w:val="006D05F8"/>
    <w:rsid w:val="006D061A"/>
    <w:rsid w:val="006D0F1C"/>
    <w:rsid w:val="006D1F2C"/>
    <w:rsid w:val="006D201C"/>
    <w:rsid w:val="006D3210"/>
    <w:rsid w:val="006D35A7"/>
    <w:rsid w:val="006D394F"/>
    <w:rsid w:val="006D444E"/>
    <w:rsid w:val="006D536D"/>
    <w:rsid w:val="006D5417"/>
    <w:rsid w:val="006D6AC4"/>
    <w:rsid w:val="006D73FB"/>
    <w:rsid w:val="006D7AA2"/>
    <w:rsid w:val="006E00D0"/>
    <w:rsid w:val="006E01D0"/>
    <w:rsid w:val="006E04F4"/>
    <w:rsid w:val="006E074E"/>
    <w:rsid w:val="006E0E18"/>
    <w:rsid w:val="006E1DE5"/>
    <w:rsid w:val="006E3152"/>
    <w:rsid w:val="006E3C0C"/>
    <w:rsid w:val="006E4031"/>
    <w:rsid w:val="006E46A7"/>
    <w:rsid w:val="006E470D"/>
    <w:rsid w:val="006E4E99"/>
    <w:rsid w:val="006E5078"/>
    <w:rsid w:val="006E60C4"/>
    <w:rsid w:val="006E6919"/>
    <w:rsid w:val="006F019E"/>
    <w:rsid w:val="006F0221"/>
    <w:rsid w:val="006F0A85"/>
    <w:rsid w:val="006F0C2D"/>
    <w:rsid w:val="006F23CA"/>
    <w:rsid w:val="006F2801"/>
    <w:rsid w:val="006F355E"/>
    <w:rsid w:val="006F3ABD"/>
    <w:rsid w:val="006F492E"/>
    <w:rsid w:val="006F554E"/>
    <w:rsid w:val="006F55A9"/>
    <w:rsid w:val="006F607F"/>
    <w:rsid w:val="006F64AD"/>
    <w:rsid w:val="006F73B2"/>
    <w:rsid w:val="006F7F5F"/>
    <w:rsid w:val="00700550"/>
    <w:rsid w:val="007009A7"/>
    <w:rsid w:val="00700E46"/>
    <w:rsid w:val="0070124C"/>
    <w:rsid w:val="0070248C"/>
    <w:rsid w:val="00703F71"/>
    <w:rsid w:val="00704C71"/>
    <w:rsid w:val="00704E71"/>
    <w:rsid w:val="0070554D"/>
    <w:rsid w:val="0070603A"/>
    <w:rsid w:val="00706513"/>
    <w:rsid w:val="007068FF"/>
    <w:rsid w:val="00706BD0"/>
    <w:rsid w:val="00706ED6"/>
    <w:rsid w:val="00710041"/>
    <w:rsid w:val="00710F99"/>
    <w:rsid w:val="00711399"/>
    <w:rsid w:val="00711784"/>
    <w:rsid w:val="00712514"/>
    <w:rsid w:val="007136B9"/>
    <w:rsid w:val="007144EA"/>
    <w:rsid w:val="007147AB"/>
    <w:rsid w:val="00714E23"/>
    <w:rsid w:val="0071508A"/>
    <w:rsid w:val="0071511D"/>
    <w:rsid w:val="00715586"/>
    <w:rsid w:val="00715952"/>
    <w:rsid w:val="00715F6B"/>
    <w:rsid w:val="00715FB5"/>
    <w:rsid w:val="00716050"/>
    <w:rsid w:val="007161FE"/>
    <w:rsid w:val="007162DB"/>
    <w:rsid w:val="007168D0"/>
    <w:rsid w:val="00716CA9"/>
    <w:rsid w:val="0071713E"/>
    <w:rsid w:val="00717556"/>
    <w:rsid w:val="007204EA"/>
    <w:rsid w:val="00721D09"/>
    <w:rsid w:val="0072297D"/>
    <w:rsid w:val="00724EF5"/>
    <w:rsid w:val="00726325"/>
    <w:rsid w:val="007272F7"/>
    <w:rsid w:val="00730519"/>
    <w:rsid w:val="00730FE0"/>
    <w:rsid w:val="00731E06"/>
    <w:rsid w:val="00732FA2"/>
    <w:rsid w:val="0073337C"/>
    <w:rsid w:val="0073399F"/>
    <w:rsid w:val="00734440"/>
    <w:rsid w:val="00734E02"/>
    <w:rsid w:val="007350E1"/>
    <w:rsid w:val="00735425"/>
    <w:rsid w:val="00735AEC"/>
    <w:rsid w:val="00735C46"/>
    <w:rsid w:val="00736947"/>
    <w:rsid w:val="00737855"/>
    <w:rsid w:val="0074025B"/>
    <w:rsid w:val="0074089C"/>
    <w:rsid w:val="007409C6"/>
    <w:rsid w:val="00740A01"/>
    <w:rsid w:val="00741765"/>
    <w:rsid w:val="007418E3"/>
    <w:rsid w:val="007423FB"/>
    <w:rsid w:val="007430A5"/>
    <w:rsid w:val="007436FB"/>
    <w:rsid w:val="0074467A"/>
    <w:rsid w:val="00745173"/>
    <w:rsid w:val="007459F4"/>
    <w:rsid w:val="00745F00"/>
    <w:rsid w:val="00746A60"/>
    <w:rsid w:val="00746AF0"/>
    <w:rsid w:val="00746B7D"/>
    <w:rsid w:val="0074715A"/>
    <w:rsid w:val="00747300"/>
    <w:rsid w:val="007475FE"/>
    <w:rsid w:val="00747ADC"/>
    <w:rsid w:val="00747BD1"/>
    <w:rsid w:val="00751156"/>
    <w:rsid w:val="00751169"/>
    <w:rsid w:val="007517AC"/>
    <w:rsid w:val="00751E87"/>
    <w:rsid w:val="0075267C"/>
    <w:rsid w:val="00752DF6"/>
    <w:rsid w:val="00753037"/>
    <w:rsid w:val="0075348A"/>
    <w:rsid w:val="00753BD5"/>
    <w:rsid w:val="007546EE"/>
    <w:rsid w:val="007556E7"/>
    <w:rsid w:val="007558B2"/>
    <w:rsid w:val="00755982"/>
    <w:rsid w:val="00757B13"/>
    <w:rsid w:val="00757EA9"/>
    <w:rsid w:val="00760513"/>
    <w:rsid w:val="00760676"/>
    <w:rsid w:val="00760E4C"/>
    <w:rsid w:val="00760F6E"/>
    <w:rsid w:val="00761CA3"/>
    <w:rsid w:val="007622BD"/>
    <w:rsid w:val="0076313B"/>
    <w:rsid w:val="00763B08"/>
    <w:rsid w:val="00763BA4"/>
    <w:rsid w:val="007640B3"/>
    <w:rsid w:val="00765774"/>
    <w:rsid w:val="00766713"/>
    <w:rsid w:val="00766B9D"/>
    <w:rsid w:val="00766CB7"/>
    <w:rsid w:val="00766CFB"/>
    <w:rsid w:val="00767A15"/>
    <w:rsid w:val="00772BFC"/>
    <w:rsid w:val="007739C7"/>
    <w:rsid w:val="00773A29"/>
    <w:rsid w:val="00773AFD"/>
    <w:rsid w:val="00774461"/>
    <w:rsid w:val="00774D19"/>
    <w:rsid w:val="00775877"/>
    <w:rsid w:val="00775A0B"/>
    <w:rsid w:val="00775EC9"/>
    <w:rsid w:val="007761B4"/>
    <w:rsid w:val="007765E4"/>
    <w:rsid w:val="00776D35"/>
    <w:rsid w:val="00777921"/>
    <w:rsid w:val="00780407"/>
    <w:rsid w:val="00780434"/>
    <w:rsid w:val="007804BF"/>
    <w:rsid w:val="00780669"/>
    <w:rsid w:val="007813DA"/>
    <w:rsid w:val="00781A8A"/>
    <w:rsid w:val="00781AFF"/>
    <w:rsid w:val="00781DC2"/>
    <w:rsid w:val="007820C9"/>
    <w:rsid w:val="007826DF"/>
    <w:rsid w:val="00782A2C"/>
    <w:rsid w:val="00783516"/>
    <w:rsid w:val="00783D54"/>
    <w:rsid w:val="00784760"/>
    <w:rsid w:val="007864F3"/>
    <w:rsid w:val="007871AD"/>
    <w:rsid w:val="007916FC"/>
    <w:rsid w:val="00791B08"/>
    <w:rsid w:val="00791D79"/>
    <w:rsid w:val="00792129"/>
    <w:rsid w:val="00793B3F"/>
    <w:rsid w:val="00793E13"/>
    <w:rsid w:val="00793E28"/>
    <w:rsid w:val="007951A0"/>
    <w:rsid w:val="00797E6C"/>
    <w:rsid w:val="007A0321"/>
    <w:rsid w:val="007A0E08"/>
    <w:rsid w:val="007A1142"/>
    <w:rsid w:val="007A3459"/>
    <w:rsid w:val="007A3FEA"/>
    <w:rsid w:val="007A40CB"/>
    <w:rsid w:val="007A47C6"/>
    <w:rsid w:val="007A485C"/>
    <w:rsid w:val="007A55A0"/>
    <w:rsid w:val="007A5981"/>
    <w:rsid w:val="007A5D22"/>
    <w:rsid w:val="007A6DCA"/>
    <w:rsid w:val="007B0B71"/>
    <w:rsid w:val="007B0E6A"/>
    <w:rsid w:val="007B17FF"/>
    <w:rsid w:val="007B19D8"/>
    <w:rsid w:val="007B29D4"/>
    <w:rsid w:val="007B3A75"/>
    <w:rsid w:val="007B5722"/>
    <w:rsid w:val="007B5850"/>
    <w:rsid w:val="007B5B17"/>
    <w:rsid w:val="007B5E2F"/>
    <w:rsid w:val="007B74CC"/>
    <w:rsid w:val="007C0241"/>
    <w:rsid w:val="007C1550"/>
    <w:rsid w:val="007C206F"/>
    <w:rsid w:val="007C3A31"/>
    <w:rsid w:val="007C496D"/>
    <w:rsid w:val="007C518E"/>
    <w:rsid w:val="007C5191"/>
    <w:rsid w:val="007C52B1"/>
    <w:rsid w:val="007C60E6"/>
    <w:rsid w:val="007C79B1"/>
    <w:rsid w:val="007D03F5"/>
    <w:rsid w:val="007D06D8"/>
    <w:rsid w:val="007D07AD"/>
    <w:rsid w:val="007D0CFE"/>
    <w:rsid w:val="007D1D62"/>
    <w:rsid w:val="007D3F5F"/>
    <w:rsid w:val="007D4636"/>
    <w:rsid w:val="007D4AE4"/>
    <w:rsid w:val="007D4B80"/>
    <w:rsid w:val="007D52C4"/>
    <w:rsid w:val="007D591E"/>
    <w:rsid w:val="007D7ADD"/>
    <w:rsid w:val="007E0A1A"/>
    <w:rsid w:val="007E0E74"/>
    <w:rsid w:val="007E2004"/>
    <w:rsid w:val="007E2B03"/>
    <w:rsid w:val="007E2BAF"/>
    <w:rsid w:val="007E4169"/>
    <w:rsid w:val="007E4AE4"/>
    <w:rsid w:val="007E4B01"/>
    <w:rsid w:val="007E5D9B"/>
    <w:rsid w:val="007E68B8"/>
    <w:rsid w:val="007E69A2"/>
    <w:rsid w:val="007F023D"/>
    <w:rsid w:val="007F0B87"/>
    <w:rsid w:val="007F1464"/>
    <w:rsid w:val="007F1CF1"/>
    <w:rsid w:val="007F2E1E"/>
    <w:rsid w:val="007F32D4"/>
    <w:rsid w:val="007F3C25"/>
    <w:rsid w:val="007F3D30"/>
    <w:rsid w:val="007F4AA4"/>
    <w:rsid w:val="007F5151"/>
    <w:rsid w:val="007F53AB"/>
    <w:rsid w:val="007F5729"/>
    <w:rsid w:val="007F6536"/>
    <w:rsid w:val="007F707A"/>
    <w:rsid w:val="007F71CA"/>
    <w:rsid w:val="007F7E1A"/>
    <w:rsid w:val="00800D31"/>
    <w:rsid w:val="008013B4"/>
    <w:rsid w:val="008016BD"/>
    <w:rsid w:val="008018F6"/>
    <w:rsid w:val="00802279"/>
    <w:rsid w:val="008027EA"/>
    <w:rsid w:val="00803476"/>
    <w:rsid w:val="00803629"/>
    <w:rsid w:val="0080381D"/>
    <w:rsid w:val="00803DAE"/>
    <w:rsid w:val="00804834"/>
    <w:rsid w:val="008054F1"/>
    <w:rsid w:val="00806188"/>
    <w:rsid w:val="0080785F"/>
    <w:rsid w:val="00807C29"/>
    <w:rsid w:val="00807E80"/>
    <w:rsid w:val="00810275"/>
    <w:rsid w:val="00810A0B"/>
    <w:rsid w:val="00810C8E"/>
    <w:rsid w:val="008115F9"/>
    <w:rsid w:val="00811FEC"/>
    <w:rsid w:val="008129E6"/>
    <w:rsid w:val="00812D25"/>
    <w:rsid w:val="00812F32"/>
    <w:rsid w:val="00813296"/>
    <w:rsid w:val="008140F3"/>
    <w:rsid w:val="00814B49"/>
    <w:rsid w:val="00815A15"/>
    <w:rsid w:val="00815E4D"/>
    <w:rsid w:val="008167B9"/>
    <w:rsid w:val="00820D21"/>
    <w:rsid w:val="00821975"/>
    <w:rsid w:val="00822A4B"/>
    <w:rsid w:val="00822C8C"/>
    <w:rsid w:val="008231EE"/>
    <w:rsid w:val="008235B3"/>
    <w:rsid w:val="00823941"/>
    <w:rsid w:val="00824DA4"/>
    <w:rsid w:val="00825409"/>
    <w:rsid w:val="008257DD"/>
    <w:rsid w:val="008261B6"/>
    <w:rsid w:val="00826E3C"/>
    <w:rsid w:val="00827088"/>
    <w:rsid w:val="00827556"/>
    <w:rsid w:val="0082755E"/>
    <w:rsid w:val="008311BD"/>
    <w:rsid w:val="00831F0E"/>
    <w:rsid w:val="00833C5C"/>
    <w:rsid w:val="00835D26"/>
    <w:rsid w:val="00836C03"/>
    <w:rsid w:val="0084007E"/>
    <w:rsid w:val="00840341"/>
    <w:rsid w:val="008406AC"/>
    <w:rsid w:val="00840FF9"/>
    <w:rsid w:val="0084107B"/>
    <w:rsid w:val="008416D6"/>
    <w:rsid w:val="008417A5"/>
    <w:rsid w:val="0084197B"/>
    <w:rsid w:val="00841CA9"/>
    <w:rsid w:val="00841CD6"/>
    <w:rsid w:val="0084243D"/>
    <w:rsid w:val="008425A7"/>
    <w:rsid w:val="0084270A"/>
    <w:rsid w:val="0084271D"/>
    <w:rsid w:val="00843135"/>
    <w:rsid w:val="00843201"/>
    <w:rsid w:val="0084328D"/>
    <w:rsid w:val="008446D7"/>
    <w:rsid w:val="008451F9"/>
    <w:rsid w:val="00845390"/>
    <w:rsid w:val="00846035"/>
    <w:rsid w:val="0085079D"/>
    <w:rsid w:val="00850E7A"/>
    <w:rsid w:val="00851809"/>
    <w:rsid w:val="00851C4C"/>
    <w:rsid w:val="00852BCB"/>
    <w:rsid w:val="00852DBF"/>
    <w:rsid w:val="00853576"/>
    <w:rsid w:val="008536FD"/>
    <w:rsid w:val="008540A7"/>
    <w:rsid w:val="0085460F"/>
    <w:rsid w:val="0085504C"/>
    <w:rsid w:val="008554D6"/>
    <w:rsid w:val="00855BEE"/>
    <w:rsid w:val="008562CC"/>
    <w:rsid w:val="00857481"/>
    <w:rsid w:val="008607EB"/>
    <w:rsid w:val="008608F1"/>
    <w:rsid w:val="008609DC"/>
    <w:rsid w:val="00861F67"/>
    <w:rsid w:val="00862608"/>
    <w:rsid w:val="008626F5"/>
    <w:rsid w:val="008637F0"/>
    <w:rsid w:val="00863A10"/>
    <w:rsid w:val="00863E6C"/>
    <w:rsid w:val="00864497"/>
    <w:rsid w:val="008644C7"/>
    <w:rsid w:val="00864EF4"/>
    <w:rsid w:val="00865365"/>
    <w:rsid w:val="00866031"/>
    <w:rsid w:val="00866EC4"/>
    <w:rsid w:val="00866F35"/>
    <w:rsid w:val="00867654"/>
    <w:rsid w:val="00867707"/>
    <w:rsid w:val="00867C07"/>
    <w:rsid w:val="00870112"/>
    <w:rsid w:val="00870337"/>
    <w:rsid w:val="00870F0F"/>
    <w:rsid w:val="00873887"/>
    <w:rsid w:val="00873C4C"/>
    <w:rsid w:val="008744F3"/>
    <w:rsid w:val="00874769"/>
    <w:rsid w:val="00875168"/>
    <w:rsid w:val="00875D48"/>
    <w:rsid w:val="00875D92"/>
    <w:rsid w:val="00875DBB"/>
    <w:rsid w:val="00875F28"/>
    <w:rsid w:val="00876C9C"/>
    <w:rsid w:val="00877594"/>
    <w:rsid w:val="00877739"/>
    <w:rsid w:val="00877A89"/>
    <w:rsid w:val="008801E5"/>
    <w:rsid w:val="008806A9"/>
    <w:rsid w:val="00880831"/>
    <w:rsid w:val="00881163"/>
    <w:rsid w:val="00881A9F"/>
    <w:rsid w:val="0088219F"/>
    <w:rsid w:val="00882A0F"/>
    <w:rsid w:val="00882FCC"/>
    <w:rsid w:val="00883252"/>
    <w:rsid w:val="00883814"/>
    <w:rsid w:val="00883CBF"/>
    <w:rsid w:val="00884AFF"/>
    <w:rsid w:val="00884F0A"/>
    <w:rsid w:val="008862C7"/>
    <w:rsid w:val="00886C41"/>
    <w:rsid w:val="00887EFE"/>
    <w:rsid w:val="00890319"/>
    <w:rsid w:val="008905AF"/>
    <w:rsid w:val="00891CCB"/>
    <w:rsid w:val="00892401"/>
    <w:rsid w:val="00893192"/>
    <w:rsid w:val="00893AFF"/>
    <w:rsid w:val="00893EA2"/>
    <w:rsid w:val="00894476"/>
    <w:rsid w:val="0089496D"/>
    <w:rsid w:val="00894CEC"/>
    <w:rsid w:val="0089555B"/>
    <w:rsid w:val="008955DE"/>
    <w:rsid w:val="008958A4"/>
    <w:rsid w:val="00896A61"/>
    <w:rsid w:val="00896C78"/>
    <w:rsid w:val="00897E01"/>
    <w:rsid w:val="008A1073"/>
    <w:rsid w:val="008A122E"/>
    <w:rsid w:val="008A1B05"/>
    <w:rsid w:val="008A1CD7"/>
    <w:rsid w:val="008A2671"/>
    <w:rsid w:val="008A40DD"/>
    <w:rsid w:val="008A4A14"/>
    <w:rsid w:val="008A4C0C"/>
    <w:rsid w:val="008A515A"/>
    <w:rsid w:val="008A5526"/>
    <w:rsid w:val="008A5FEE"/>
    <w:rsid w:val="008A673A"/>
    <w:rsid w:val="008A6D62"/>
    <w:rsid w:val="008A72B2"/>
    <w:rsid w:val="008B0E7A"/>
    <w:rsid w:val="008B0EBD"/>
    <w:rsid w:val="008B1109"/>
    <w:rsid w:val="008B22F9"/>
    <w:rsid w:val="008B3AD0"/>
    <w:rsid w:val="008B4AE9"/>
    <w:rsid w:val="008B545B"/>
    <w:rsid w:val="008B5570"/>
    <w:rsid w:val="008B55C9"/>
    <w:rsid w:val="008B5931"/>
    <w:rsid w:val="008B5B27"/>
    <w:rsid w:val="008B68B7"/>
    <w:rsid w:val="008B6CB5"/>
    <w:rsid w:val="008B7007"/>
    <w:rsid w:val="008B71F0"/>
    <w:rsid w:val="008C07F9"/>
    <w:rsid w:val="008C183F"/>
    <w:rsid w:val="008C26C5"/>
    <w:rsid w:val="008C3C68"/>
    <w:rsid w:val="008C4C13"/>
    <w:rsid w:val="008C5C28"/>
    <w:rsid w:val="008C638A"/>
    <w:rsid w:val="008C755B"/>
    <w:rsid w:val="008C7688"/>
    <w:rsid w:val="008D0831"/>
    <w:rsid w:val="008D0CF7"/>
    <w:rsid w:val="008D115C"/>
    <w:rsid w:val="008D1980"/>
    <w:rsid w:val="008D1A60"/>
    <w:rsid w:val="008D26F9"/>
    <w:rsid w:val="008D35BB"/>
    <w:rsid w:val="008D37FE"/>
    <w:rsid w:val="008D387A"/>
    <w:rsid w:val="008D388E"/>
    <w:rsid w:val="008D3A79"/>
    <w:rsid w:val="008D4417"/>
    <w:rsid w:val="008D48AF"/>
    <w:rsid w:val="008D7027"/>
    <w:rsid w:val="008D7665"/>
    <w:rsid w:val="008D7DED"/>
    <w:rsid w:val="008E0B5E"/>
    <w:rsid w:val="008E138F"/>
    <w:rsid w:val="008E2003"/>
    <w:rsid w:val="008E2152"/>
    <w:rsid w:val="008E2519"/>
    <w:rsid w:val="008E28A1"/>
    <w:rsid w:val="008E2E47"/>
    <w:rsid w:val="008E3118"/>
    <w:rsid w:val="008E3A47"/>
    <w:rsid w:val="008E3EEC"/>
    <w:rsid w:val="008E5560"/>
    <w:rsid w:val="008E5869"/>
    <w:rsid w:val="008E6092"/>
    <w:rsid w:val="008E690B"/>
    <w:rsid w:val="008E6A14"/>
    <w:rsid w:val="008E6C79"/>
    <w:rsid w:val="008E6D52"/>
    <w:rsid w:val="008E77AD"/>
    <w:rsid w:val="008F05BA"/>
    <w:rsid w:val="008F106B"/>
    <w:rsid w:val="008F1302"/>
    <w:rsid w:val="008F14E0"/>
    <w:rsid w:val="008F1762"/>
    <w:rsid w:val="008F2660"/>
    <w:rsid w:val="008F2CA3"/>
    <w:rsid w:val="008F2EC7"/>
    <w:rsid w:val="008F38E0"/>
    <w:rsid w:val="008F39A4"/>
    <w:rsid w:val="008F5752"/>
    <w:rsid w:val="008F5AFB"/>
    <w:rsid w:val="008F6C4D"/>
    <w:rsid w:val="008F7135"/>
    <w:rsid w:val="008F7527"/>
    <w:rsid w:val="008F7BE8"/>
    <w:rsid w:val="00900AE4"/>
    <w:rsid w:val="009021E1"/>
    <w:rsid w:val="009023C1"/>
    <w:rsid w:val="00902E55"/>
    <w:rsid w:val="009046D8"/>
    <w:rsid w:val="0090478A"/>
    <w:rsid w:val="00905010"/>
    <w:rsid w:val="00905213"/>
    <w:rsid w:val="0090668B"/>
    <w:rsid w:val="00906B43"/>
    <w:rsid w:val="00906C71"/>
    <w:rsid w:val="00906F9E"/>
    <w:rsid w:val="009073D9"/>
    <w:rsid w:val="009073DE"/>
    <w:rsid w:val="00910A62"/>
    <w:rsid w:val="00910BCB"/>
    <w:rsid w:val="00910D8A"/>
    <w:rsid w:val="00910EFE"/>
    <w:rsid w:val="00911174"/>
    <w:rsid w:val="00911247"/>
    <w:rsid w:val="00913588"/>
    <w:rsid w:val="0091429A"/>
    <w:rsid w:val="009142F6"/>
    <w:rsid w:val="00915683"/>
    <w:rsid w:val="00915B37"/>
    <w:rsid w:val="00915C65"/>
    <w:rsid w:val="00915E52"/>
    <w:rsid w:val="00915FE1"/>
    <w:rsid w:val="00917094"/>
    <w:rsid w:val="0092033B"/>
    <w:rsid w:val="009207A5"/>
    <w:rsid w:val="00920DE6"/>
    <w:rsid w:val="00921E10"/>
    <w:rsid w:val="00923C2A"/>
    <w:rsid w:val="00923F55"/>
    <w:rsid w:val="009240C5"/>
    <w:rsid w:val="0092425F"/>
    <w:rsid w:val="009246E7"/>
    <w:rsid w:val="00924B9E"/>
    <w:rsid w:val="00924DE3"/>
    <w:rsid w:val="00925246"/>
    <w:rsid w:val="009255E6"/>
    <w:rsid w:val="00925814"/>
    <w:rsid w:val="00925852"/>
    <w:rsid w:val="00925C4D"/>
    <w:rsid w:val="0092638E"/>
    <w:rsid w:val="009263E1"/>
    <w:rsid w:val="00926F59"/>
    <w:rsid w:val="009279CA"/>
    <w:rsid w:val="0093040C"/>
    <w:rsid w:val="009305BD"/>
    <w:rsid w:val="00930EAF"/>
    <w:rsid w:val="00931BFC"/>
    <w:rsid w:val="00931CE0"/>
    <w:rsid w:val="0093229C"/>
    <w:rsid w:val="00932AF7"/>
    <w:rsid w:val="0093340F"/>
    <w:rsid w:val="00933CB3"/>
    <w:rsid w:val="00933DAD"/>
    <w:rsid w:val="0093431B"/>
    <w:rsid w:val="009346C7"/>
    <w:rsid w:val="00934D36"/>
    <w:rsid w:val="00935014"/>
    <w:rsid w:val="009357BB"/>
    <w:rsid w:val="009357D0"/>
    <w:rsid w:val="00935E53"/>
    <w:rsid w:val="00935EBA"/>
    <w:rsid w:val="00936420"/>
    <w:rsid w:val="00936907"/>
    <w:rsid w:val="00936E92"/>
    <w:rsid w:val="009375C1"/>
    <w:rsid w:val="00937AEB"/>
    <w:rsid w:val="009409CD"/>
    <w:rsid w:val="00941CF2"/>
    <w:rsid w:val="00942103"/>
    <w:rsid w:val="00943467"/>
    <w:rsid w:val="00943677"/>
    <w:rsid w:val="009439D1"/>
    <w:rsid w:val="00943CC2"/>
    <w:rsid w:val="00943E86"/>
    <w:rsid w:val="009446CD"/>
    <w:rsid w:val="00944760"/>
    <w:rsid w:val="00945B70"/>
    <w:rsid w:val="00945E02"/>
    <w:rsid w:val="009463EA"/>
    <w:rsid w:val="0094674F"/>
    <w:rsid w:val="00950C5A"/>
    <w:rsid w:val="00950E93"/>
    <w:rsid w:val="009522E0"/>
    <w:rsid w:val="00952C26"/>
    <w:rsid w:val="009543E2"/>
    <w:rsid w:val="00954922"/>
    <w:rsid w:val="00955A0B"/>
    <w:rsid w:val="00956F9E"/>
    <w:rsid w:val="009576AD"/>
    <w:rsid w:val="00961B89"/>
    <w:rsid w:val="00961D96"/>
    <w:rsid w:val="00961E30"/>
    <w:rsid w:val="00962033"/>
    <w:rsid w:val="0096271B"/>
    <w:rsid w:val="00963AD0"/>
    <w:rsid w:val="009640A8"/>
    <w:rsid w:val="009649F6"/>
    <w:rsid w:val="009652BA"/>
    <w:rsid w:val="0096546A"/>
    <w:rsid w:val="00965D77"/>
    <w:rsid w:val="00965EAD"/>
    <w:rsid w:val="009662B3"/>
    <w:rsid w:val="009662C7"/>
    <w:rsid w:val="00966FE7"/>
    <w:rsid w:val="009673F8"/>
    <w:rsid w:val="00971278"/>
    <w:rsid w:val="00972082"/>
    <w:rsid w:val="009728A9"/>
    <w:rsid w:val="00972EAD"/>
    <w:rsid w:val="00973723"/>
    <w:rsid w:val="00975EA0"/>
    <w:rsid w:val="0097720F"/>
    <w:rsid w:val="00977612"/>
    <w:rsid w:val="00980A5E"/>
    <w:rsid w:val="00980E5B"/>
    <w:rsid w:val="00980FB6"/>
    <w:rsid w:val="009811C3"/>
    <w:rsid w:val="00981859"/>
    <w:rsid w:val="00981AE9"/>
    <w:rsid w:val="0098564E"/>
    <w:rsid w:val="009858BF"/>
    <w:rsid w:val="00985A8D"/>
    <w:rsid w:val="00985E5E"/>
    <w:rsid w:val="00986C4D"/>
    <w:rsid w:val="009872F1"/>
    <w:rsid w:val="009879F3"/>
    <w:rsid w:val="00990EAB"/>
    <w:rsid w:val="0099250D"/>
    <w:rsid w:val="00992607"/>
    <w:rsid w:val="00992828"/>
    <w:rsid w:val="00994818"/>
    <w:rsid w:val="00994BC6"/>
    <w:rsid w:val="00995B2F"/>
    <w:rsid w:val="009976E8"/>
    <w:rsid w:val="009A00EF"/>
    <w:rsid w:val="009A0872"/>
    <w:rsid w:val="009A0C82"/>
    <w:rsid w:val="009A0C92"/>
    <w:rsid w:val="009A12E5"/>
    <w:rsid w:val="009A1EB4"/>
    <w:rsid w:val="009A3747"/>
    <w:rsid w:val="009A3F0F"/>
    <w:rsid w:val="009A416F"/>
    <w:rsid w:val="009A424E"/>
    <w:rsid w:val="009A461D"/>
    <w:rsid w:val="009A4651"/>
    <w:rsid w:val="009A4B0C"/>
    <w:rsid w:val="009A58CD"/>
    <w:rsid w:val="009A62B6"/>
    <w:rsid w:val="009A6A53"/>
    <w:rsid w:val="009B0A81"/>
    <w:rsid w:val="009B0D57"/>
    <w:rsid w:val="009B1A26"/>
    <w:rsid w:val="009B1FD2"/>
    <w:rsid w:val="009B28CA"/>
    <w:rsid w:val="009B2A19"/>
    <w:rsid w:val="009B2A54"/>
    <w:rsid w:val="009B3B84"/>
    <w:rsid w:val="009B3BB8"/>
    <w:rsid w:val="009B41A8"/>
    <w:rsid w:val="009B48F9"/>
    <w:rsid w:val="009B4C09"/>
    <w:rsid w:val="009B54C6"/>
    <w:rsid w:val="009B56CE"/>
    <w:rsid w:val="009B5892"/>
    <w:rsid w:val="009B5B73"/>
    <w:rsid w:val="009B651B"/>
    <w:rsid w:val="009B6886"/>
    <w:rsid w:val="009B6CD0"/>
    <w:rsid w:val="009B7265"/>
    <w:rsid w:val="009B74A1"/>
    <w:rsid w:val="009B777F"/>
    <w:rsid w:val="009B7F3B"/>
    <w:rsid w:val="009C1207"/>
    <w:rsid w:val="009C1F30"/>
    <w:rsid w:val="009C2773"/>
    <w:rsid w:val="009C28A3"/>
    <w:rsid w:val="009C3DAD"/>
    <w:rsid w:val="009C3EC9"/>
    <w:rsid w:val="009C4AA9"/>
    <w:rsid w:val="009C536F"/>
    <w:rsid w:val="009C5D75"/>
    <w:rsid w:val="009C5F69"/>
    <w:rsid w:val="009C6112"/>
    <w:rsid w:val="009C6A98"/>
    <w:rsid w:val="009C7912"/>
    <w:rsid w:val="009D0C37"/>
    <w:rsid w:val="009D105A"/>
    <w:rsid w:val="009D1C89"/>
    <w:rsid w:val="009D2542"/>
    <w:rsid w:val="009D2BEB"/>
    <w:rsid w:val="009D3090"/>
    <w:rsid w:val="009D3883"/>
    <w:rsid w:val="009D4242"/>
    <w:rsid w:val="009D4455"/>
    <w:rsid w:val="009D451C"/>
    <w:rsid w:val="009D5486"/>
    <w:rsid w:val="009D60E7"/>
    <w:rsid w:val="009D7668"/>
    <w:rsid w:val="009D795D"/>
    <w:rsid w:val="009E00E8"/>
    <w:rsid w:val="009E0FB1"/>
    <w:rsid w:val="009E184B"/>
    <w:rsid w:val="009E27B5"/>
    <w:rsid w:val="009E2FA4"/>
    <w:rsid w:val="009E3429"/>
    <w:rsid w:val="009E3C9B"/>
    <w:rsid w:val="009E3FB0"/>
    <w:rsid w:val="009E4BAD"/>
    <w:rsid w:val="009E5380"/>
    <w:rsid w:val="009E58E1"/>
    <w:rsid w:val="009E5C5D"/>
    <w:rsid w:val="009E674C"/>
    <w:rsid w:val="009E7AAC"/>
    <w:rsid w:val="009E7DE4"/>
    <w:rsid w:val="009F04FB"/>
    <w:rsid w:val="009F0C93"/>
    <w:rsid w:val="009F123D"/>
    <w:rsid w:val="009F1913"/>
    <w:rsid w:val="009F1B0F"/>
    <w:rsid w:val="009F2D55"/>
    <w:rsid w:val="009F30C9"/>
    <w:rsid w:val="009F3A43"/>
    <w:rsid w:val="009F3A7D"/>
    <w:rsid w:val="009F42BF"/>
    <w:rsid w:val="009F49CA"/>
    <w:rsid w:val="009F52B7"/>
    <w:rsid w:val="009F6FEC"/>
    <w:rsid w:val="009F78B1"/>
    <w:rsid w:val="009F7951"/>
    <w:rsid w:val="00A004DE"/>
    <w:rsid w:val="00A00AE1"/>
    <w:rsid w:val="00A01651"/>
    <w:rsid w:val="00A01CD5"/>
    <w:rsid w:val="00A042A8"/>
    <w:rsid w:val="00A049A9"/>
    <w:rsid w:val="00A05039"/>
    <w:rsid w:val="00A05BB6"/>
    <w:rsid w:val="00A07C9F"/>
    <w:rsid w:val="00A1017E"/>
    <w:rsid w:val="00A10524"/>
    <w:rsid w:val="00A132C2"/>
    <w:rsid w:val="00A136D7"/>
    <w:rsid w:val="00A146C6"/>
    <w:rsid w:val="00A147C9"/>
    <w:rsid w:val="00A15674"/>
    <w:rsid w:val="00A1593C"/>
    <w:rsid w:val="00A15D76"/>
    <w:rsid w:val="00A15FE1"/>
    <w:rsid w:val="00A162A3"/>
    <w:rsid w:val="00A162EA"/>
    <w:rsid w:val="00A16C8C"/>
    <w:rsid w:val="00A16F5E"/>
    <w:rsid w:val="00A16F76"/>
    <w:rsid w:val="00A17374"/>
    <w:rsid w:val="00A17B4B"/>
    <w:rsid w:val="00A2061A"/>
    <w:rsid w:val="00A21198"/>
    <w:rsid w:val="00A22409"/>
    <w:rsid w:val="00A228FB"/>
    <w:rsid w:val="00A22CA6"/>
    <w:rsid w:val="00A23544"/>
    <w:rsid w:val="00A23EBF"/>
    <w:rsid w:val="00A25832"/>
    <w:rsid w:val="00A25877"/>
    <w:rsid w:val="00A2688D"/>
    <w:rsid w:val="00A26D27"/>
    <w:rsid w:val="00A277A8"/>
    <w:rsid w:val="00A27D3A"/>
    <w:rsid w:val="00A30ACD"/>
    <w:rsid w:val="00A31153"/>
    <w:rsid w:val="00A3169E"/>
    <w:rsid w:val="00A32FAC"/>
    <w:rsid w:val="00A33124"/>
    <w:rsid w:val="00A33E16"/>
    <w:rsid w:val="00A34053"/>
    <w:rsid w:val="00A340B3"/>
    <w:rsid w:val="00A349E2"/>
    <w:rsid w:val="00A34CD1"/>
    <w:rsid w:val="00A34E84"/>
    <w:rsid w:val="00A35099"/>
    <w:rsid w:val="00A35536"/>
    <w:rsid w:val="00A355E6"/>
    <w:rsid w:val="00A356BC"/>
    <w:rsid w:val="00A37137"/>
    <w:rsid w:val="00A372EE"/>
    <w:rsid w:val="00A37C81"/>
    <w:rsid w:val="00A411CD"/>
    <w:rsid w:val="00A41F68"/>
    <w:rsid w:val="00A4244E"/>
    <w:rsid w:val="00A4288D"/>
    <w:rsid w:val="00A42B27"/>
    <w:rsid w:val="00A42D0F"/>
    <w:rsid w:val="00A42D40"/>
    <w:rsid w:val="00A433BC"/>
    <w:rsid w:val="00A434B5"/>
    <w:rsid w:val="00A44071"/>
    <w:rsid w:val="00A44E7D"/>
    <w:rsid w:val="00A45A58"/>
    <w:rsid w:val="00A45A60"/>
    <w:rsid w:val="00A46238"/>
    <w:rsid w:val="00A46C17"/>
    <w:rsid w:val="00A46EDE"/>
    <w:rsid w:val="00A4726A"/>
    <w:rsid w:val="00A478D4"/>
    <w:rsid w:val="00A51456"/>
    <w:rsid w:val="00A51E38"/>
    <w:rsid w:val="00A52528"/>
    <w:rsid w:val="00A5313E"/>
    <w:rsid w:val="00A539CA"/>
    <w:rsid w:val="00A549A4"/>
    <w:rsid w:val="00A550D2"/>
    <w:rsid w:val="00A555DC"/>
    <w:rsid w:val="00A555E9"/>
    <w:rsid w:val="00A60EDB"/>
    <w:rsid w:val="00A61A6A"/>
    <w:rsid w:val="00A63E97"/>
    <w:rsid w:val="00A63F1F"/>
    <w:rsid w:val="00A64129"/>
    <w:rsid w:val="00A64262"/>
    <w:rsid w:val="00A653B7"/>
    <w:rsid w:val="00A65738"/>
    <w:rsid w:val="00A6600E"/>
    <w:rsid w:val="00A660D7"/>
    <w:rsid w:val="00A66882"/>
    <w:rsid w:val="00A66EEE"/>
    <w:rsid w:val="00A6771C"/>
    <w:rsid w:val="00A677C5"/>
    <w:rsid w:val="00A7125A"/>
    <w:rsid w:val="00A714DF"/>
    <w:rsid w:val="00A71CC4"/>
    <w:rsid w:val="00A73195"/>
    <w:rsid w:val="00A734D4"/>
    <w:rsid w:val="00A73CDB"/>
    <w:rsid w:val="00A73DCE"/>
    <w:rsid w:val="00A73E94"/>
    <w:rsid w:val="00A74A74"/>
    <w:rsid w:val="00A77E91"/>
    <w:rsid w:val="00A80883"/>
    <w:rsid w:val="00A80B43"/>
    <w:rsid w:val="00A80CEB"/>
    <w:rsid w:val="00A80DB6"/>
    <w:rsid w:val="00A838F6"/>
    <w:rsid w:val="00A84EDE"/>
    <w:rsid w:val="00A8588A"/>
    <w:rsid w:val="00A862B2"/>
    <w:rsid w:val="00A8679E"/>
    <w:rsid w:val="00A86EBF"/>
    <w:rsid w:val="00A87B20"/>
    <w:rsid w:val="00A87D8D"/>
    <w:rsid w:val="00A90713"/>
    <w:rsid w:val="00A90734"/>
    <w:rsid w:val="00A90C19"/>
    <w:rsid w:val="00A90CB9"/>
    <w:rsid w:val="00A91498"/>
    <w:rsid w:val="00A918D9"/>
    <w:rsid w:val="00A921E3"/>
    <w:rsid w:val="00A93B85"/>
    <w:rsid w:val="00A93E54"/>
    <w:rsid w:val="00A94441"/>
    <w:rsid w:val="00A944A2"/>
    <w:rsid w:val="00A95DB5"/>
    <w:rsid w:val="00A96354"/>
    <w:rsid w:val="00AA0998"/>
    <w:rsid w:val="00AA0E96"/>
    <w:rsid w:val="00AA12F0"/>
    <w:rsid w:val="00AA15F5"/>
    <w:rsid w:val="00AA1D4E"/>
    <w:rsid w:val="00AA2121"/>
    <w:rsid w:val="00AA3C2A"/>
    <w:rsid w:val="00AA3EF4"/>
    <w:rsid w:val="00AA4C55"/>
    <w:rsid w:val="00AA6DEE"/>
    <w:rsid w:val="00AA709B"/>
    <w:rsid w:val="00AA78C3"/>
    <w:rsid w:val="00AA795C"/>
    <w:rsid w:val="00AA7C52"/>
    <w:rsid w:val="00AB027A"/>
    <w:rsid w:val="00AB0476"/>
    <w:rsid w:val="00AB0780"/>
    <w:rsid w:val="00AB1733"/>
    <w:rsid w:val="00AB1B34"/>
    <w:rsid w:val="00AB1E8D"/>
    <w:rsid w:val="00AB245A"/>
    <w:rsid w:val="00AB38B1"/>
    <w:rsid w:val="00AB40DB"/>
    <w:rsid w:val="00AB4311"/>
    <w:rsid w:val="00AB61E0"/>
    <w:rsid w:val="00AB6701"/>
    <w:rsid w:val="00AB69F0"/>
    <w:rsid w:val="00AB79AE"/>
    <w:rsid w:val="00AB7DC5"/>
    <w:rsid w:val="00AC0270"/>
    <w:rsid w:val="00AC06E5"/>
    <w:rsid w:val="00AC08C5"/>
    <w:rsid w:val="00AC13D1"/>
    <w:rsid w:val="00AC16E8"/>
    <w:rsid w:val="00AC1B1A"/>
    <w:rsid w:val="00AC2DB3"/>
    <w:rsid w:val="00AC2DCA"/>
    <w:rsid w:val="00AC3B9B"/>
    <w:rsid w:val="00AC3BB6"/>
    <w:rsid w:val="00AC3C3E"/>
    <w:rsid w:val="00AC412A"/>
    <w:rsid w:val="00AC4185"/>
    <w:rsid w:val="00AC4FE7"/>
    <w:rsid w:val="00AC60AA"/>
    <w:rsid w:val="00AC65E6"/>
    <w:rsid w:val="00AC6F5D"/>
    <w:rsid w:val="00AD0DEA"/>
    <w:rsid w:val="00AD1531"/>
    <w:rsid w:val="00AD2D4D"/>
    <w:rsid w:val="00AD320F"/>
    <w:rsid w:val="00AD3A9A"/>
    <w:rsid w:val="00AD5777"/>
    <w:rsid w:val="00AD5B81"/>
    <w:rsid w:val="00AD66EC"/>
    <w:rsid w:val="00AD697B"/>
    <w:rsid w:val="00AD7C50"/>
    <w:rsid w:val="00AD7CFC"/>
    <w:rsid w:val="00AE0D56"/>
    <w:rsid w:val="00AE0F1A"/>
    <w:rsid w:val="00AE1054"/>
    <w:rsid w:val="00AE201D"/>
    <w:rsid w:val="00AE2ADA"/>
    <w:rsid w:val="00AE331E"/>
    <w:rsid w:val="00AE34E9"/>
    <w:rsid w:val="00AE3E8F"/>
    <w:rsid w:val="00AE3F0E"/>
    <w:rsid w:val="00AE4482"/>
    <w:rsid w:val="00AE5636"/>
    <w:rsid w:val="00AF06F9"/>
    <w:rsid w:val="00AF1169"/>
    <w:rsid w:val="00AF1512"/>
    <w:rsid w:val="00AF2CAE"/>
    <w:rsid w:val="00AF3A23"/>
    <w:rsid w:val="00AF4280"/>
    <w:rsid w:val="00AF4C0A"/>
    <w:rsid w:val="00AF4F6F"/>
    <w:rsid w:val="00AF659F"/>
    <w:rsid w:val="00AF7385"/>
    <w:rsid w:val="00B0148E"/>
    <w:rsid w:val="00B014CC"/>
    <w:rsid w:val="00B01AF2"/>
    <w:rsid w:val="00B02600"/>
    <w:rsid w:val="00B02A42"/>
    <w:rsid w:val="00B02B25"/>
    <w:rsid w:val="00B054B9"/>
    <w:rsid w:val="00B05D74"/>
    <w:rsid w:val="00B0672E"/>
    <w:rsid w:val="00B06FD5"/>
    <w:rsid w:val="00B077CA"/>
    <w:rsid w:val="00B105FC"/>
    <w:rsid w:val="00B1097A"/>
    <w:rsid w:val="00B15297"/>
    <w:rsid w:val="00B15CF5"/>
    <w:rsid w:val="00B16984"/>
    <w:rsid w:val="00B228A1"/>
    <w:rsid w:val="00B22EBE"/>
    <w:rsid w:val="00B237AD"/>
    <w:rsid w:val="00B237B7"/>
    <w:rsid w:val="00B23FF9"/>
    <w:rsid w:val="00B247D1"/>
    <w:rsid w:val="00B2612E"/>
    <w:rsid w:val="00B26E2F"/>
    <w:rsid w:val="00B271C5"/>
    <w:rsid w:val="00B303A9"/>
    <w:rsid w:val="00B3065A"/>
    <w:rsid w:val="00B310C4"/>
    <w:rsid w:val="00B311C7"/>
    <w:rsid w:val="00B313E5"/>
    <w:rsid w:val="00B322D4"/>
    <w:rsid w:val="00B32474"/>
    <w:rsid w:val="00B33B66"/>
    <w:rsid w:val="00B33D4C"/>
    <w:rsid w:val="00B34253"/>
    <w:rsid w:val="00B34866"/>
    <w:rsid w:val="00B35FD4"/>
    <w:rsid w:val="00B36A36"/>
    <w:rsid w:val="00B377AD"/>
    <w:rsid w:val="00B37D46"/>
    <w:rsid w:val="00B41401"/>
    <w:rsid w:val="00B41FF8"/>
    <w:rsid w:val="00B42736"/>
    <w:rsid w:val="00B42C5C"/>
    <w:rsid w:val="00B42EA6"/>
    <w:rsid w:val="00B43280"/>
    <w:rsid w:val="00B43297"/>
    <w:rsid w:val="00B43CD8"/>
    <w:rsid w:val="00B44F8E"/>
    <w:rsid w:val="00B46C21"/>
    <w:rsid w:val="00B47612"/>
    <w:rsid w:val="00B50692"/>
    <w:rsid w:val="00B50DE8"/>
    <w:rsid w:val="00B51005"/>
    <w:rsid w:val="00B5200E"/>
    <w:rsid w:val="00B5319E"/>
    <w:rsid w:val="00B53799"/>
    <w:rsid w:val="00B5381B"/>
    <w:rsid w:val="00B53977"/>
    <w:rsid w:val="00B53F9B"/>
    <w:rsid w:val="00B5416C"/>
    <w:rsid w:val="00B54805"/>
    <w:rsid w:val="00B54BD2"/>
    <w:rsid w:val="00B54C2D"/>
    <w:rsid w:val="00B54E09"/>
    <w:rsid w:val="00B54FFD"/>
    <w:rsid w:val="00B555DC"/>
    <w:rsid w:val="00B55CA7"/>
    <w:rsid w:val="00B55DEC"/>
    <w:rsid w:val="00B56CBF"/>
    <w:rsid w:val="00B5737E"/>
    <w:rsid w:val="00B5799B"/>
    <w:rsid w:val="00B57AD1"/>
    <w:rsid w:val="00B62371"/>
    <w:rsid w:val="00B62C87"/>
    <w:rsid w:val="00B62D99"/>
    <w:rsid w:val="00B63890"/>
    <w:rsid w:val="00B638C1"/>
    <w:rsid w:val="00B6450D"/>
    <w:rsid w:val="00B64EA8"/>
    <w:rsid w:val="00B65280"/>
    <w:rsid w:val="00B65641"/>
    <w:rsid w:val="00B65B48"/>
    <w:rsid w:val="00B65E31"/>
    <w:rsid w:val="00B66774"/>
    <w:rsid w:val="00B66986"/>
    <w:rsid w:val="00B66FA5"/>
    <w:rsid w:val="00B66FF6"/>
    <w:rsid w:val="00B676EF"/>
    <w:rsid w:val="00B706CF"/>
    <w:rsid w:val="00B70869"/>
    <w:rsid w:val="00B70961"/>
    <w:rsid w:val="00B7172B"/>
    <w:rsid w:val="00B71CFF"/>
    <w:rsid w:val="00B72227"/>
    <w:rsid w:val="00B73115"/>
    <w:rsid w:val="00B73497"/>
    <w:rsid w:val="00B7359A"/>
    <w:rsid w:val="00B73BAB"/>
    <w:rsid w:val="00B73C7C"/>
    <w:rsid w:val="00B73DAB"/>
    <w:rsid w:val="00B74A2D"/>
    <w:rsid w:val="00B75DE0"/>
    <w:rsid w:val="00B76375"/>
    <w:rsid w:val="00B7787F"/>
    <w:rsid w:val="00B779A0"/>
    <w:rsid w:val="00B8075B"/>
    <w:rsid w:val="00B80E7E"/>
    <w:rsid w:val="00B81029"/>
    <w:rsid w:val="00B811A3"/>
    <w:rsid w:val="00B8162F"/>
    <w:rsid w:val="00B82271"/>
    <w:rsid w:val="00B8243C"/>
    <w:rsid w:val="00B828B6"/>
    <w:rsid w:val="00B83228"/>
    <w:rsid w:val="00B8374F"/>
    <w:rsid w:val="00B83D4F"/>
    <w:rsid w:val="00B841DC"/>
    <w:rsid w:val="00B843B2"/>
    <w:rsid w:val="00B8459F"/>
    <w:rsid w:val="00B85AB5"/>
    <w:rsid w:val="00B86BDF"/>
    <w:rsid w:val="00B90042"/>
    <w:rsid w:val="00B910BD"/>
    <w:rsid w:val="00B91149"/>
    <w:rsid w:val="00B92F7B"/>
    <w:rsid w:val="00B93977"/>
    <w:rsid w:val="00B93DC9"/>
    <w:rsid w:val="00B93EDA"/>
    <w:rsid w:val="00B9404F"/>
    <w:rsid w:val="00B955EA"/>
    <w:rsid w:val="00B9622F"/>
    <w:rsid w:val="00B962F1"/>
    <w:rsid w:val="00B96627"/>
    <w:rsid w:val="00B97CCE"/>
    <w:rsid w:val="00BA0791"/>
    <w:rsid w:val="00BA10EF"/>
    <w:rsid w:val="00BA173B"/>
    <w:rsid w:val="00BA2199"/>
    <w:rsid w:val="00BA2D1E"/>
    <w:rsid w:val="00BA3EB8"/>
    <w:rsid w:val="00BA49B5"/>
    <w:rsid w:val="00BA5088"/>
    <w:rsid w:val="00BA654B"/>
    <w:rsid w:val="00BA6B56"/>
    <w:rsid w:val="00BA70EF"/>
    <w:rsid w:val="00BA74C3"/>
    <w:rsid w:val="00BA756C"/>
    <w:rsid w:val="00BA796A"/>
    <w:rsid w:val="00BB0807"/>
    <w:rsid w:val="00BB0837"/>
    <w:rsid w:val="00BB087A"/>
    <w:rsid w:val="00BB08FB"/>
    <w:rsid w:val="00BB110D"/>
    <w:rsid w:val="00BB18F0"/>
    <w:rsid w:val="00BB29AC"/>
    <w:rsid w:val="00BB2D9E"/>
    <w:rsid w:val="00BB317A"/>
    <w:rsid w:val="00BB31B9"/>
    <w:rsid w:val="00BB3C9A"/>
    <w:rsid w:val="00BB4CCF"/>
    <w:rsid w:val="00BB5798"/>
    <w:rsid w:val="00BB5D50"/>
    <w:rsid w:val="00BB7A50"/>
    <w:rsid w:val="00BC0415"/>
    <w:rsid w:val="00BC0567"/>
    <w:rsid w:val="00BC1455"/>
    <w:rsid w:val="00BC22C4"/>
    <w:rsid w:val="00BC34CB"/>
    <w:rsid w:val="00BC3673"/>
    <w:rsid w:val="00BC3F65"/>
    <w:rsid w:val="00BC4278"/>
    <w:rsid w:val="00BC4591"/>
    <w:rsid w:val="00BC5091"/>
    <w:rsid w:val="00BC5448"/>
    <w:rsid w:val="00BC6308"/>
    <w:rsid w:val="00BC76C1"/>
    <w:rsid w:val="00BD1A24"/>
    <w:rsid w:val="00BD23C3"/>
    <w:rsid w:val="00BD24DE"/>
    <w:rsid w:val="00BD2994"/>
    <w:rsid w:val="00BD2DBE"/>
    <w:rsid w:val="00BD31AB"/>
    <w:rsid w:val="00BD4EDD"/>
    <w:rsid w:val="00BD6B51"/>
    <w:rsid w:val="00BD733A"/>
    <w:rsid w:val="00BD7E41"/>
    <w:rsid w:val="00BE0626"/>
    <w:rsid w:val="00BE2E4F"/>
    <w:rsid w:val="00BE3A2B"/>
    <w:rsid w:val="00BE500E"/>
    <w:rsid w:val="00BE5419"/>
    <w:rsid w:val="00BE5BE3"/>
    <w:rsid w:val="00BE6177"/>
    <w:rsid w:val="00BE6425"/>
    <w:rsid w:val="00BE6A83"/>
    <w:rsid w:val="00BE6E66"/>
    <w:rsid w:val="00BE728C"/>
    <w:rsid w:val="00BE738B"/>
    <w:rsid w:val="00BE7A0D"/>
    <w:rsid w:val="00BF040B"/>
    <w:rsid w:val="00BF06AD"/>
    <w:rsid w:val="00BF135D"/>
    <w:rsid w:val="00BF2DA1"/>
    <w:rsid w:val="00BF3A8A"/>
    <w:rsid w:val="00BF3D7F"/>
    <w:rsid w:val="00BF3DD8"/>
    <w:rsid w:val="00BF4159"/>
    <w:rsid w:val="00BF4FC2"/>
    <w:rsid w:val="00BF5D1A"/>
    <w:rsid w:val="00BF5E2F"/>
    <w:rsid w:val="00BF5EF7"/>
    <w:rsid w:val="00BF63FD"/>
    <w:rsid w:val="00BF68C0"/>
    <w:rsid w:val="00BF68E1"/>
    <w:rsid w:val="00BF6DFF"/>
    <w:rsid w:val="00BF7D51"/>
    <w:rsid w:val="00C00BDD"/>
    <w:rsid w:val="00C00ED2"/>
    <w:rsid w:val="00C011BE"/>
    <w:rsid w:val="00C0258E"/>
    <w:rsid w:val="00C03FC5"/>
    <w:rsid w:val="00C0539E"/>
    <w:rsid w:val="00C05751"/>
    <w:rsid w:val="00C06293"/>
    <w:rsid w:val="00C067DD"/>
    <w:rsid w:val="00C0793E"/>
    <w:rsid w:val="00C07E6F"/>
    <w:rsid w:val="00C105E3"/>
    <w:rsid w:val="00C113EC"/>
    <w:rsid w:val="00C122F1"/>
    <w:rsid w:val="00C12617"/>
    <w:rsid w:val="00C12F74"/>
    <w:rsid w:val="00C146CD"/>
    <w:rsid w:val="00C1504E"/>
    <w:rsid w:val="00C1506C"/>
    <w:rsid w:val="00C150C0"/>
    <w:rsid w:val="00C15A0D"/>
    <w:rsid w:val="00C160A5"/>
    <w:rsid w:val="00C16115"/>
    <w:rsid w:val="00C1692F"/>
    <w:rsid w:val="00C17CFC"/>
    <w:rsid w:val="00C21372"/>
    <w:rsid w:val="00C214B0"/>
    <w:rsid w:val="00C227F8"/>
    <w:rsid w:val="00C22DD7"/>
    <w:rsid w:val="00C236BD"/>
    <w:rsid w:val="00C23E18"/>
    <w:rsid w:val="00C23ED9"/>
    <w:rsid w:val="00C23F01"/>
    <w:rsid w:val="00C241ED"/>
    <w:rsid w:val="00C2514A"/>
    <w:rsid w:val="00C25FD6"/>
    <w:rsid w:val="00C27A16"/>
    <w:rsid w:val="00C27ABE"/>
    <w:rsid w:val="00C3029E"/>
    <w:rsid w:val="00C30B4F"/>
    <w:rsid w:val="00C31200"/>
    <w:rsid w:val="00C31372"/>
    <w:rsid w:val="00C325A6"/>
    <w:rsid w:val="00C33380"/>
    <w:rsid w:val="00C346E0"/>
    <w:rsid w:val="00C34FA1"/>
    <w:rsid w:val="00C355D2"/>
    <w:rsid w:val="00C35F2B"/>
    <w:rsid w:val="00C360EC"/>
    <w:rsid w:val="00C36686"/>
    <w:rsid w:val="00C36B3D"/>
    <w:rsid w:val="00C378D5"/>
    <w:rsid w:val="00C41709"/>
    <w:rsid w:val="00C4225C"/>
    <w:rsid w:val="00C429B7"/>
    <w:rsid w:val="00C429BD"/>
    <w:rsid w:val="00C43423"/>
    <w:rsid w:val="00C434BA"/>
    <w:rsid w:val="00C43B37"/>
    <w:rsid w:val="00C43FB7"/>
    <w:rsid w:val="00C45DB4"/>
    <w:rsid w:val="00C468B7"/>
    <w:rsid w:val="00C46E38"/>
    <w:rsid w:val="00C47E44"/>
    <w:rsid w:val="00C50369"/>
    <w:rsid w:val="00C51605"/>
    <w:rsid w:val="00C520C1"/>
    <w:rsid w:val="00C5331A"/>
    <w:rsid w:val="00C539BB"/>
    <w:rsid w:val="00C53C6F"/>
    <w:rsid w:val="00C53F66"/>
    <w:rsid w:val="00C547E7"/>
    <w:rsid w:val="00C54EDA"/>
    <w:rsid w:val="00C55513"/>
    <w:rsid w:val="00C55580"/>
    <w:rsid w:val="00C55FA3"/>
    <w:rsid w:val="00C56939"/>
    <w:rsid w:val="00C56A17"/>
    <w:rsid w:val="00C57A9D"/>
    <w:rsid w:val="00C57C76"/>
    <w:rsid w:val="00C603A0"/>
    <w:rsid w:val="00C60590"/>
    <w:rsid w:val="00C6068D"/>
    <w:rsid w:val="00C60997"/>
    <w:rsid w:val="00C6120F"/>
    <w:rsid w:val="00C61422"/>
    <w:rsid w:val="00C6226C"/>
    <w:rsid w:val="00C622CC"/>
    <w:rsid w:val="00C62380"/>
    <w:rsid w:val="00C62381"/>
    <w:rsid w:val="00C626B5"/>
    <w:rsid w:val="00C63C12"/>
    <w:rsid w:val="00C63C90"/>
    <w:rsid w:val="00C64845"/>
    <w:rsid w:val="00C64D2A"/>
    <w:rsid w:val="00C6532B"/>
    <w:rsid w:val="00C65BE0"/>
    <w:rsid w:val="00C65F4D"/>
    <w:rsid w:val="00C6630D"/>
    <w:rsid w:val="00C669CF"/>
    <w:rsid w:val="00C67564"/>
    <w:rsid w:val="00C675D1"/>
    <w:rsid w:val="00C709B6"/>
    <w:rsid w:val="00C70FE2"/>
    <w:rsid w:val="00C736F8"/>
    <w:rsid w:val="00C74689"/>
    <w:rsid w:val="00C74753"/>
    <w:rsid w:val="00C74878"/>
    <w:rsid w:val="00C74E4F"/>
    <w:rsid w:val="00C752F7"/>
    <w:rsid w:val="00C755CE"/>
    <w:rsid w:val="00C76DE0"/>
    <w:rsid w:val="00C7796A"/>
    <w:rsid w:val="00C77AC4"/>
    <w:rsid w:val="00C77CA1"/>
    <w:rsid w:val="00C77DA9"/>
    <w:rsid w:val="00C77DB8"/>
    <w:rsid w:val="00C8025A"/>
    <w:rsid w:val="00C80277"/>
    <w:rsid w:val="00C80991"/>
    <w:rsid w:val="00C80FA5"/>
    <w:rsid w:val="00C810E3"/>
    <w:rsid w:val="00C8118D"/>
    <w:rsid w:val="00C81689"/>
    <w:rsid w:val="00C82ADD"/>
    <w:rsid w:val="00C85077"/>
    <w:rsid w:val="00C851C4"/>
    <w:rsid w:val="00C85234"/>
    <w:rsid w:val="00C85D90"/>
    <w:rsid w:val="00C867A9"/>
    <w:rsid w:val="00C87938"/>
    <w:rsid w:val="00C902E7"/>
    <w:rsid w:val="00C90940"/>
    <w:rsid w:val="00C914DD"/>
    <w:rsid w:val="00C920EF"/>
    <w:rsid w:val="00C92E6E"/>
    <w:rsid w:val="00C94B6B"/>
    <w:rsid w:val="00C9610C"/>
    <w:rsid w:val="00CA0BD5"/>
    <w:rsid w:val="00CA14EB"/>
    <w:rsid w:val="00CA3422"/>
    <w:rsid w:val="00CA3A04"/>
    <w:rsid w:val="00CA3D0F"/>
    <w:rsid w:val="00CA4D1B"/>
    <w:rsid w:val="00CA5B3C"/>
    <w:rsid w:val="00CA6136"/>
    <w:rsid w:val="00CA62D6"/>
    <w:rsid w:val="00CA7F6B"/>
    <w:rsid w:val="00CB0223"/>
    <w:rsid w:val="00CB04DD"/>
    <w:rsid w:val="00CB1DE4"/>
    <w:rsid w:val="00CB2694"/>
    <w:rsid w:val="00CB3343"/>
    <w:rsid w:val="00CB4238"/>
    <w:rsid w:val="00CB51B7"/>
    <w:rsid w:val="00CB5305"/>
    <w:rsid w:val="00CB6493"/>
    <w:rsid w:val="00CB6AA6"/>
    <w:rsid w:val="00CB7343"/>
    <w:rsid w:val="00CB75A2"/>
    <w:rsid w:val="00CB7CC3"/>
    <w:rsid w:val="00CC05B7"/>
    <w:rsid w:val="00CC1089"/>
    <w:rsid w:val="00CC13E7"/>
    <w:rsid w:val="00CC2206"/>
    <w:rsid w:val="00CC30E0"/>
    <w:rsid w:val="00CC3166"/>
    <w:rsid w:val="00CC385F"/>
    <w:rsid w:val="00CC38E2"/>
    <w:rsid w:val="00CC4B92"/>
    <w:rsid w:val="00CC515C"/>
    <w:rsid w:val="00CC565F"/>
    <w:rsid w:val="00CC752B"/>
    <w:rsid w:val="00CC788B"/>
    <w:rsid w:val="00CD0E6F"/>
    <w:rsid w:val="00CD19DA"/>
    <w:rsid w:val="00CD1A80"/>
    <w:rsid w:val="00CD2247"/>
    <w:rsid w:val="00CD2B69"/>
    <w:rsid w:val="00CD2C98"/>
    <w:rsid w:val="00CD3239"/>
    <w:rsid w:val="00CD3425"/>
    <w:rsid w:val="00CD413E"/>
    <w:rsid w:val="00CD4810"/>
    <w:rsid w:val="00CD4C29"/>
    <w:rsid w:val="00CD5034"/>
    <w:rsid w:val="00CD5143"/>
    <w:rsid w:val="00CD53FA"/>
    <w:rsid w:val="00CD6206"/>
    <w:rsid w:val="00CD6B51"/>
    <w:rsid w:val="00CD6E2C"/>
    <w:rsid w:val="00CD71BA"/>
    <w:rsid w:val="00CD7E3F"/>
    <w:rsid w:val="00CE0146"/>
    <w:rsid w:val="00CE0392"/>
    <w:rsid w:val="00CE088B"/>
    <w:rsid w:val="00CE0D08"/>
    <w:rsid w:val="00CE0F25"/>
    <w:rsid w:val="00CE107B"/>
    <w:rsid w:val="00CE292D"/>
    <w:rsid w:val="00CE30C2"/>
    <w:rsid w:val="00CE311F"/>
    <w:rsid w:val="00CE3625"/>
    <w:rsid w:val="00CE37EB"/>
    <w:rsid w:val="00CE3C85"/>
    <w:rsid w:val="00CE3FB0"/>
    <w:rsid w:val="00CE4FE6"/>
    <w:rsid w:val="00CE50B8"/>
    <w:rsid w:val="00CE59B2"/>
    <w:rsid w:val="00CE6CCE"/>
    <w:rsid w:val="00CE7564"/>
    <w:rsid w:val="00CE75B5"/>
    <w:rsid w:val="00CE7CB4"/>
    <w:rsid w:val="00CF1F10"/>
    <w:rsid w:val="00CF1F60"/>
    <w:rsid w:val="00CF3281"/>
    <w:rsid w:val="00CF7C01"/>
    <w:rsid w:val="00CF7EC6"/>
    <w:rsid w:val="00D013EC"/>
    <w:rsid w:val="00D01902"/>
    <w:rsid w:val="00D02607"/>
    <w:rsid w:val="00D03DB0"/>
    <w:rsid w:val="00D04EFE"/>
    <w:rsid w:val="00D0563E"/>
    <w:rsid w:val="00D05AAF"/>
    <w:rsid w:val="00D10848"/>
    <w:rsid w:val="00D126E1"/>
    <w:rsid w:val="00D13507"/>
    <w:rsid w:val="00D139E6"/>
    <w:rsid w:val="00D139F2"/>
    <w:rsid w:val="00D13ECC"/>
    <w:rsid w:val="00D13F84"/>
    <w:rsid w:val="00D1441F"/>
    <w:rsid w:val="00D14F6F"/>
    <w:rsid w:val="00D15892"/>
    <w:rsid w:val="00D2030C"/>
    <w:rsid w:val="00D20676"/>
    <w:rsid w:val="00D206D6"/>
    <w:rsid w:val="00D20A11"/>
    <w:rsid w:val="00D20F1D"/>
    <w:rsid w:val="00D21502"/>
    <w:rsid w:val="00D22208"/>
    <w:rsid w:val="00D228A9"/>
    <w:rsid w:val="00D22F9F"/>
    <w:rsid w:val="00D2331C"/>
    <w:rsid w:val="00D235C4"/>
    <w:rsid w:val="00D23B1D"/>
    <w:rsid w:val="00D23B48"/>
    <w:rsid w:val="00D23B80"/>
    <w:rsid w:val="00D30A6D"/>
    <w:rsid w:val="00D3103F"/>
    <w:rsid w:val="00D310F6"/>
    <w:rsid w:val="00D31618"/>
    <w:rsid w:val="00D3333A"/>
    <w:rsid w:val="00D34D33"/>
    <w:rsid w:val="00D34F46"/>
    <w:rsid w:val="00D36530"/>
    <w:rsid w:val="00D40920"/>
    <w:rsid w:val="00D41335"/>
    <w:rsid w:val="00D41BC9"/>
    <w:rsid w:val="00D43FB7"/>
    <w:rsid w:val="00D4562B"/>
    <w:rsid w:val="00D456B7"/>
    <w:rsid w:val="00D45CF5"/>
    <w:rsid w:val="00D45DDA"/>
    <w:rsid w:val="00D46294"/>
    <w:rsid w:val="00D46AD2"/>
    <w:rsid w:val="00D471A3"/>
    <w:rsid w:val="00D47AB8"/>
    <w:rsid w:val="00D50882"/>
    <w:rsid w:val="00D511C2"/>
    <w:rsid w:val="00D51761"/>
    <w:rsid w:val="00D51B94"/>
    <w:rsid w:val="00D51D12"/>
    <w:rsid w:val="00D52ED3"/>
    <w:rsid w:val="00D532FB"/>
    <w:rsid w:val="00D54DF2"/>
    <w:rsid w:val="00D5510F"/>
    <w:rsid w:val="00D5580F"/>
    <w:rsid w:val="00D5664D"/>
    <w:rsid w:val="00D567C0"/>
    <w:rsid w:val="00D578E7"/>
    <w:rsid w:val="00D57955"/>
    <w:rsid w:val="00D57C14"/>
    <w:rsid w:val="00D605DC"/>
    <w:rsid w:val="00D6147A"/>
    <w:rsid w:val="00D614A6"/>
    <w:rsid w:val="00D61A79"/>
    <w:rsid w:val="00D61BC5"/>
    <w:rsid w:val="00D61CE2"/>
    <w:rsid w:val="00D62057"/>
    <w:rsid w:val="00D62452"/>
    <w:rsid w:val="00D63630"/>
    <w:rsid w:val="00D63875"/>
    <w:rsid w:val="00D6392A"/>
    <w:rsid w:val="00D63CA6"/>
    <w:rsid w:val="00D65909"/>
    <w:rsid w:val="00D66190"/>
    <w:rsid w:val="00D66782"/>
    <w:rsid w:val="00D704F0"/>
    <w:rsid w:val="00D71520"/>
    <w:rsid w:val="00D71FB2"/>
    <w:rsid w:val="00D72269"/>
    <w:rsid w:val="00D722E8"/>
    <w:rsid w:val="00D72683"/>
    <w:rsid w:val="00D7348D"/>
    <w:rsid w:val="00D737A8"/>
    <w:rsid w:val="00D73BD7"/>
    <w:rsid w:val="00D7407F"/>
    <w:rsid w:val="00D7439A"/>
    <w:rsid w:val="00D77133"/>
    <w:rsid w:val="00D773E2"/>
    <w:rsid w:val="00D775C1"/>
    <w:rsid w:val="00D801C6"/>
    <w:rsid w:val="00D802F5"/>
    <w:rsid w:val="00D8061A"/>
    <w:rsid w:val="00D813A0"/>
    <w:rsid w:val="00D817D7"/>
    <w:rsid w:val="00D8190B"/>
    <w:rsid w:val="00D81911"/>
    <w:rsid w:val="00D82384"/>
    <w:rsid w:val="00D82C34"/>
    <w:rsid w:val="00D83011"/>
    <w:rsid w:val="00D83151"/>
    <w:rsid w:val="00D83589"/>
    <w:rsid w:val="00D841DA"/>
    <w:rsid w:val="00D850BF"/>
    <w:rsid w:val="00D851AF"/>
    <w:rsid w:val="00D85E99"/>
    <w:rsid w:val="00D86AFB"/>
    <w:rsid w:val="00D871DB"/>
    <w:rsid w:val="00D875A3"/>
    <w:rsid w:val="00D87BEA"/>
    <w:rsid w:val="00D90105"/>
    <w:rsid w:val="00D90802"/>
    <w:rsid w:val="00D909D9"/>
    <w:rsid w:val="00D910C1"/>
    <w:rsid w:val="00D913FA"/>
    <w:rsid w:val="00D91684"/>
    <w:rsid w:val="00D917B1"/>
    <w:rsid w:val="00D92A6E"/>
    <w:rsid w:val="00D92F54"/>
    <w:rsid w:val="00D933BB"/>
    <w:rsid w:val="00D93644"/>
    <w:rsid w:val="00D93D56"/>
    <w:rsid w:val="00D95066"/>
    <w:rsid w:val="00D95437"/>
    <w:rsid w:val="00D95B46"/>
    <w:rsid w:val="00D95CE4"/>
    <w:rsid w:val="00D95EEE"/>
    <w:rsid w:val="00D961E2"/>
    <w:rsid w:val="00D962AA"/>
    <w:rsid w:val="00D9691B"/>
    <w:rsid w:val="00D96BC7"/>
    <w:rsid w:val="00D96F9D"/>
    <w:rsid w:val="00D97667"/>
    <w:rsid w:val="00DA039C"/>
    <w:rsid w:val="00DA0D1F"/>
    <w:rsid w:val="00DA1430"/>
    <w:rsid w:val="00DA1887"/>
    <w:rsid w:val="00DA21E6"/>
    <w:rsid w:val="00DA2916"/>
    <w:rsid w:val="00DA2965"/>
    <w:rsid w:val="00DA2A2B"/>
    <w:rsid w:val="00DA39E1"/>
    <w:rsid w:val="00DA3AB6"/>
    <w:rsid w:val="00DA3C8A"/>
    <w:rsid w:val="00DA3E28"/>
    <w:rsid w:val="00DA4194"/>
    <w:rsid w:val="00DA4611"/>
    <w:rsid w:val="00DA5012"/>
    <w:rsid w:val="00DA5CBD"/>
    <w:rsid w:val="00DB00A3"/>
    <w:rsid w:val="00DB0591"/>
    <w:rsid w:val="00DB114A"/>
    <w:rsid w:val="00DB12D8"/>
    <w:rsid w:val="00DB1528"/>
    <w:rsid w:val="00DB3E86"/>
    <w:rsid w:val="00DB401C"/>
    <w:rsid w:val="00DB4FD5"/>
    <w:rsid w:val="00DB556C"/>
    <w:rsid w:val="00DB58B0"/>
    <w:rsid w:val="00DB5D6A"/>
    <w:rsid w:val="00DB5E44"/>
    <w:rsid w:val="00DB7C13"/>
    <w:rsid w:val="00DC131B"/>
    <w:rsid w:val="00DC1AA0"/>
    <w:rsid w:val="00DC1C16"/>
    <w:rsid w:val="00DC2EDB"/>
    <w:rsid w:val="00DC3654"/>
    <w:rsid w:val="00DC3B5F"/>
    <w:rsid w:val="00DC42D3"/>
    <w:rsid w:val="00DC4874"/>
    <w:rsid w:val="00DC49D8"/>
    <w:rsid w:val="00DC51C8"/>
    <w:rsid w:val="00DC5B87"/>
    <w:rsid w:val="00DD0580"/>
    <w:rsid w:val="00DD0F46"/>
    <w:rsid w:val="00DD1228"/>
    <w:rsid w:val="00DD2220"/>
    <w:rsid w:val="00DD22A9"/>
    <w:rsid w:val="00DD27C5"/>
    <w:rsid w:val="00DD4623"/>
    <w:rsid w:val="00DD4CA8"/>
    <w:rsid w:val="00DD5A32"/>
    <w:rsid w:val="00DD6181"/>
    <w:rsid w:val="00DD674D"/>
    <w:rsid w:val="00DD6BBB"/>
    <w:rsid w:val="00DD6E17"/>
    <w:rsid w:val="00DD711E"/>
    <w:rsid w:val="00DD7712"/>
    <w:rsid w:val="00DD7764"/>
    <w:rsid w:val="00DD7B04"/>
    <w:rsid w:val="00DE138E"/>
    <w:rsid w:val="00DE17A4"/>
    <w:rsid w:val="00DE1FA5"/>
    <w:rsid w:val="00DE2030"/>
    <w:rsid w:val="00DE34DF"/>
    <w:rsid w:val="00DE4707"/>
    <w:rsid w:val="00DE473A"/>
    <w:rsid w:val="00DE4D2C"/>
    <w:rsid w:val="00DE4E12"/>
    <w:rsid w:val="00DE506E"/>
    <w:rsid w:val="00DE5A9A"/>
    <w:rsid w:val="00DE5F36"/>
    <w:rsid w:val="00DE65A3"/>
    <w:rsid w:val="00DE6F4F"/>
    <w:rsid w:val="00DE70F4"/>
    <w:rsid w:val="00DE7821"/>
    <w:rsid w:val="00DF01D4"/>
    <w:rsid w:val="00DF13DA"/>
    <w:rsid w:val="00DF1D7F"/>
    <w:rsid w:val="00DF1FC7"/>
    <w:rsid w:val="00DF20A2"/>
    <w:rsid w:val="00DF20CF"/>
    <w:rsid w:val="00DF20E4"/>
    <w:rsid w:val="00DF342F"/>
    <w:rsid w:val="00DF3480"/>
    <w:rsid w:val="00DF413E"/>
    <w:rsid w:val="00DF4DBA"/>
    <w:rsid w:val="00DF4EA7"/>
    <w:rsid w:val="00DF5E9B"/>
    <w:rsid w:val="00DF5F2B"/>
    <w:rsid w:val="00DF74C5"/>
    <w:rsid w:val="00DF76A0"/>
    <w:rsid w:val="00DF7741"/>
    <w:rsid w:val="00E0128F"/>
    <w:rsid w:val="00E02337"/>
    <w:rsid w:val="00E0311D"/>
    <w:rsid w:val="00E041DD"/>
    <w:rsid w:val="00E04DFA"/>
    <w:rsid w:val="00E05364"/>
    <w:rsid w:val="00E05453"/>
    <w:rsid w:val="00E055D4"/>
    <w:rsid w:val="00E056C5"/>
    <w:rsid w:val="00E05AA2"/>
    <w:rsid w:val="00E05BDD"/>
    <w:rsid w:val="00E07526"/>
    <w:rsid w:val="00E101AE"/>
    <w:rsid w:val="00E1110C"/>
    <w:rsid w:val="00E1178B"/>
    <w:rsid w:val="00E142F3"/>
    <w:rsid w:val="00E14DA7"/>
    <w:rsid w:val="00E155DA"/>
    <w:rsid w:val="00E1566B"/>
    <w:rsid w:val="00E15F4E"/>
    <w:rsid w:val="00E16044"/>
    <w:rsid w:val="00E16425"/>
    <w:rsid w:val="00E169A2"/>
    <w:rsid w:val="00E16A7A"/>
    <w:rsid w:val="00E16F9C"/>
    <w:rsid w:val="00E17B47"/>
    <w:rsid w:val="00E17D27"/>
    <w:rsid w:val="00E17F41"/>
    <w:rsid w:val="00E20945"/>
    <w:rsid w:val="00E20C5C"/>
    <w:rsid w:val="00E216A3"/>
    <w:rsid w:val="00E21995"/>
    <w:rsid w:val="00E21D9F"/>
    <w:rsid w:val="00E22DCE"/>
    <w:rsid w:val="00E2302B"/>
    <w:rsid w:val="00E23D7E"/>
    <w:rsid w:val="00E23DFB"/>
    <w:rsid w:val="00E241EF"/>
    <w:rsid w:val="00E24F0B"/>
    <w:rsid w:val="00E256EF"/>
    <w:rsid w:val="00E270B1"/>
    <w:rsid w:val="00E27C0A"/>
    <w:rsid w:val="00E3121A"/>
    <w:rsid w:val="00E314ED"/>
    <w:rsid w:val="00E3183C"/>
    <w:rsid w:val="00E3213D"/>
    <w:rsid w:val="00E3263A"/>
    <w:rsid w:val="00E32A98"/>
    <w:rsid w:val="00E32DE8"/>
    <w:rsid w:val="00E330CF"/>
    <w:rsid w:val="00E3352D"/>
    <w:rsid w:val="00E34243"/>
    <w:rsid w:val="00E34BEA"/>
    <w:rsid w:val="00E35978"/>
    <w:rsid w:val="00E35DA4"/>
    <w:rsid w:val="00E374B0"/>
    <w:rsid w:val="00E376D7"/>
    <w:rsid w:val="00E37C23"/>
    <w:rsid w:val="00E37CAD"/>
    <w:rsid w:val="00E4182B"/>
    <w:rsid w:val="00E427A1"/>
    <w:rsid w:val="00E427F7"/>
    <w:rsid w:val="00E42B22"/>
    <w:rsid w:val="00E42E3D"/>
    <w:rsid w:val="00E42EFB"/>
    <w:rsid w:val="00E42F42"/>
    <w:rsid w:val="00E4333A"/>
    <w:rsid w:val="00E45842"/>
    <w:rsid w:val="00E465DE"/>
    <w:rsid w:val="00E47A0A"/>
    <w:rsid w:val="00E47C16"/>
    <w:rsid w:val="00E51059"/>
    <w:rsid w:val="00E516D7"/>
    <w:rsid w:val="00E51B5E"/>
    <w:rsid w:val="00E51FA1"/>
    <w:rsid w:val="00E52089"/>
    <w:rsid w:val="00E54838"/>
    <w:rsid w:val="00E55AA8"/>
    <w:rsid w:val="00E55D0A"/>
    <w:rsid w:val="00E56A58"/>
    <w:rsid w:val="00E57912"/>
    <w:rsid w:val="00E60954"/>
    <w:rsid w:val="00E60BA4"/>
    <w:rsid w:val="00E61198"/>
    <w:rsid w:val="00E626A9"/>
    <w:rsid w:val="00E62932"/>
    <w:rsid w:val="00E632EB"/>
    <w:rsid w:val="00E6336A"/>
    <w:rsid w:val="00E646D4"/>
    <w:rsid w:val="00E65206"/>
    <w:rsid w:val="00E65E74"/>
    <w:rsid w:val="00E66B0B"/>
    <w:rsid w:val="00E66D37"/>
    <w:rsid w:val="00E678CA"/>
    <w:rsid w:val="00E70045"/>
    <w:rsid w:val="00E70280"/>
    <w:rsid w:val="00E70345"/>
    <w:rsid w:val="00E71223"/>
    <w:rsid w:val="00E71288"/>
    <w:rsid w:val="00E71A3D"/>
    <w:rsid w:val="00E71C9A"/>
    <w:rsid w:val="00E71CEB"/>
    <w:rsid w:val="00E720B0"/>
    <w:rsid w:val="00E732A2"/>
    <w:rsid w:val="00E734DA"/>
    <w:rsid w:val="00E75548"/>
    <w:rsid w:val="00E75ED0"/>
    <w:rsid w:val="00E77E54"/>
    <w:rsid w:val="00E8029D"/>
    <w:rsid w:val="00E80C1A"/>
    <w:rsid w:val="00E812AA"/>
    <w:rsid w:val="00E81A13"/>
    <w:rsid w:val="00E822CD"/>
    <w:rsid w:val="00E82C90"/>
    <w:rsid w:val="00E82CB1"/>
    <w:rsid w:val="00E8318C"/>
    <w:rsid w:val="00E83223"/>
    <w:rsid w:val="00E83B11"/>
    <w:rsid w:val="00E83F26"/>
    <w:rsid w:val="00E84D33"/>
    <w:rsid w:val="00E85192"/>
    <w:rsid w:val="00E851E0"/>
    <w:rsid w:val="00E858D1"/>
    <w:rsid w:val="00E859A6"/>
    <w:rsid w:val="00E85A80"/>
    <w:rsid w:val="00E85EC8"/>
    <w:rsid w:val="00E85F4A"/>
    <w:rsid w:val="00E903F8"/>
    <w:rsid w:val="00E90D7F"/>
    <w:rsid w:val="00E90E14"/>
    <w:rsid w:val="00E90F84"/>
    <w:rsid w:val="00E91D1B"/>
    <w:rsid w:val="00E927E3"/>
    <w:rsid w:val="00E929A7"/>
    <w:rsid w:val="00E93597"/>
    <w:rsid w:val="00E9366D"/>
    <w:rsid w:val="00E9387E"/>
    <w:rsid w:val="00E93C97"/>
    <w:rsid w:val="00E94713"/>
    <w:rsid w:val="00E94E6E"/>
    <w:rsid w:val="00E958D2"/>
    <w:rsid w:val="00E95A72"/>
    <w:rsid w:val="00E9624E"/>
    <w:rsid w:val="00E9695C"/>
    <w:rsid w:val="00EA00AD"/>
    <w:rsid w:val="00EA0786"/>
    <w:rsid w:val="00EA0DC8"/>
    <w:rsid w:val="00EA28E9"/>
    <w:rsid w:val="00EA2D72"/>
    <w:rsid w:val="00EA3199"/>
    <w:rsid w:val="00EA467C"/>
    <w:rsid w:val="00EA4940"/>
    <w:rsid w:val="00EA6A37"/>
    <w:rsid w:val="00EA6A4A"/>
    <w:rsid w:val="00EA7F7B"/>
    <w:rsid w:val="00EB11E4"/>
    <w:rsid w:val="00EB16DF"/>
    <w:rsid w:val="00EB176F"/>
    <w:rsid w:val="00EB29EE"/>
    <w:rsid w:val="00EB3043"/>
    <w:rsid w:val="00EB4F19"/>
    <w:rsid w:val="00EB7130"/>
    <w:rsid w:val="00EB744D"/>
    <w:rsid w:val="00EB7472"/>
    <w:rsid w:val="00EC04AC"/>
    <w:rsid w:val="00EC0ACE"/>
    <w:rsid w:val="00EC12E7"/>
    <w:rsid w:val="00EC2380"/>
    <w:rsid w:val="00EC2E79"/>
    <w:rsid w:val="00EC3245"/>
    <w:rsid w:val="00EC326B"/>
    <w:rsid w:val="00EC4003"/>
    <w:rsid w:val="00EC45F0"/>
    <w:rsid w:val="00EC4873"/>
    <w:rsid w:val="00EC4C43"/>
    <w:rsid w:val="00EC5340"/>
    <w:rsid w:val="00EC53D6"/>
    <w:rsid w:val="00EC77CC"/>
    <w:rsid w:val="00EC7FD6"/>
    <w:rsid w:val="00ED013F"/>
    <w:rsid w:val="00ED0882"/>
    <w:rsid w:val="00ED1350"/>
    <w:rsid w:val="00ED194F"/>
    <w:rsid w:val="00ED1E93"/>
    <w:rsid w:val="00ED20C8"/>
    <w:rsid w:val="00ED2746"/>
    <w:rsid w:val="00ED38D4"/>
    <w:rsid w:val="00ED393B"/>
    <w:rsid w:val="00ED4993"/>
    <w:rsid w:val="00ED4BC3"/>
    <w:rsid w:val="00ED599D"/>
    <w:rsid w:val="00ED5DE5"/>
    <w:rsid w:val="00ED7C27"/>
    <w:rsid w:val="00ED7D51"/>
    <w:rsid w:val="00EE04E6"/>
    <w:rsid w:val="00EE05AD"/>
    <w:rsid w:val="00EE0BAB"/>
    <w:rsid w:val="00EE0D3E"/>
    <w:rsid w:val="00EE2B92"/>
    <w:rsid w:val="00EE3A44"/>
    <w:rsid w:val="00EE45D6"/>
    <w:rsid w:val="00EE468A"/>
    <w:rsid w:val="00EE48AE"/>
    <w:rsid w:val="00EE53C8"/>
    <w:rsid w:val="00EE57CF"/>
    <w:rsid w:val="00EE60C5"/>
    <w:rsid w:val="00EE663B"/>
    <w:rsid w:val="00EE68AB"/>
    <w:rsid w:val="00EE7147"/>
    <w:rsid w:val="00EE77B3"/>
    <w:rsid w:val="00EF0250"/>
    <w:rsid w:val="00EF0685"/>
    <w:rsid w:val="00EF12B4"/>
    <w:rsid w:val="00EF183D"/>
    <w:rsid w:val="00EF1D53"/>
    <w:rsid w:val="00EF227C"/>
    <w:rsid w:val="00EF24B3"/>
    <w:rsid w:val="00EF4ECB"/>
    <w:rsid w:val="00EF6471"/>
    <w:rsid w:val="00EF6547"/>
    <w:rsid w:val="00F00818"/>
    <w:rsid w:val="00F00A2E"/>
    <w:rsid w:val="00F00C5F"/>
    <w:rsid w:val="00F00C9D"/>
    <w:rsid w:val="00F01360"/>
    <w:rsid w:val="00F01E40"/>
    <w:rsid w:val="00F02DB4"/>
    <w:rsid w:val="00F03AC5"/>
    <w:rsid w:val="00F043F0"/>
    <w:rsid w:val="00F045A7"/>
    <w:rsid w:val="00F054D1"/>
    <w:rsid w:val="00F05AD3"/>
    <w:rsid w:val="00F061D9"/>
    <w:rsid w:val="00F064D5"/>
    <w:rsid w:val="00F07405"/>
    <w:rsid w:val="00F07E05"/>
    <w:rsid w:val="00F1008B"/>
    <w:rsid w:val="00F1097C"/>
    <w:rsid w:val="00F11BA8"/>
    <w:rsid w:val="00F11D8C"/>
    <w:rsid w:val="00F12245"/>
    <w:rsid w:val="00F12718"/>
    <w:rsid w:val="00F12E5D"/>
    <w:rsid w:val="00F148C8"/>
    <w:rsid w:val="00F15F25"/>
    <w:rsid w:val="00F1613B"/>
    <w:rsid w:val="00F168EE"/>
    <w:rsid w:val="00F16914"/>
    <w:rsid w:val="00F17970"/>
    <w:rsid w:val="00F17A67"/>
    <w:rsid w:val="00F20B70"/>
    <w:rsid w:val="00F20F57"/>
    <w:rsid w:val="00F21CDE"/>
    <w:rsid w:val="00F21EE4"/>
    <w:rsid w:val="00F22FDA"/>
    <w:rsid w:val="00F2339C"/>
    <w:rsid w:val="00F24409"/>
    <w:rsid w:val="00F2443B"/>
    <w:rsid w:val="00F2445F"/>
    <w:rsid w:val="00F259F5"/>
    <w:rsid w:val="00F2796B"/>
    <w:rsid w:val="00F30F79"/>
    <w:rsid w:val="00F320F9"/>
    <w:rsid w:val="00F324E6"/>
    <w:rsid w:val="00F337E3"/>
    <w:rsid w:val="00F346EC"/>
    <w:rsid w:val="00F346ED"/>
    <w:rsid w:val="00F3470F"/>
    <w:rsid w:val="00F35089"/>
    <w:rsid w:val="00F350AE"/>
    <w:rsid w:val="00F35341"/>
    <w:rsid w:val="00F3542A"/>
    <w:rsid w:val="00F35577"/>
    <w:rsid w:val="00F36B61"/>
    <w:rsid w:val="00F37239"/>
    <w:rsid w:val="00F375BF"/>
    <w:rsid w:val="00F4024B"/>
    <w:rsid w:val="00F402C6"/>
    <w:rsid w:val="00F40A18"/>
    <w:rsid w:val="00F41466"/>
    <w:rsid w:val="00F41D0D"/>
    <w:rsid w:val="00F42221"/>
    <w:rsid w:val="00F42DE3"/>
    <w:rsid w:val="00F42EC7"/>
    <w:rsid w:val="00F43900"/>
    <w:rsid w:val="00F43BD2"/>
    <w:rsid w:val="00F43F97"/>
    <w:rsid w:val="00F43FDF"/>
    <w:rsid w:val="00F45BC0"/>
    <w:rsid w:val="00F45FF9"/>
    <w:rsid w:val="00F466DF"/>
    <w:rsid w:val="00F50068"/>
    <w:rsid w:val="00F500C0"/>
    <w:rsid w:val="00F5102A"/>
    <w:rsid w:val="00F510A6"/>
    <w:rsid w:val="00F51A34"/>
    <w:rsid w:val="00F51ADB"/>
    <w:rsid w:val="00F51B20"/>
    <w:rsid w:val="00F51D3D"/>
    <w:rsid w:val="00F52B68"/>
    <w:rsid w:val="00F53379"/>
    <w:rsid w:val="00F53405"/>
    <w:rsid w:val="00F53BB8"/>
    <w:rsid w:val="00F54097"/>
    <w:rsid w:val="00F54129"/>
    <w:rsid w:val="00F54A89"/>
    <w:rsid w:val="00F54BB0"/>
    <w:rsid w:val="00F55072"/>
    <w:rsid w:val="00F550B1"/>
    <w:rsid w:val="00F555DF"/>
    <w:rsid w:val="00F55AF0"/>
    <w:rsid w:val="00F56210"/>
    <w:rsid w:val="00F56445"/>
    <w:rsid w:val="00F57000"/>
    <w:rsid w:val="00F60964"/>
    <w:rsid w:val="00F60F57"/>
    <w:rsid w:val="00F62369"/>
    <w:rsid w:val="00F62455"/>
    <w:rsid w:val="00F62A2E"/>
    <w:rsid w:val="00F62D85"/>
    <w:rsid w:val="00F62DFD"/>
    <w:rsid w:val="00F65101"/>
    <w:rsid w:val="00F65A3B"/>
    <w:rsid w:val="00F66DF5"/>
    <w:rsid w:val="00F67204"/>
    <w:rsid w:val="00F67D26"/>
    <w:rsid w:val="00F70A0B"/>
    <w:rsid w:val="00F721F3"/>
    <w:rsid w:val="00F7359A"/>
    <w:rsid w:val="00F73949"/>
    <w:rsid w:val="00F73C80"/>
    <w:rsid w:val="00F74500"/>
    <w:rsid w:val="00F747FC"/>
    <w:rsid w:val="00F748E5"/>
    <w:rsid w:val="00F76D77"/>
    <w:rsid w:val="00F77D3F"/>
    <w:rsid w:val="00F80515"/>
    <w:rsid w:val="00F806DE"/>
    <w:rsid w:val="00F807CE"/>
    <w:rsid w:val="00F81440"/>
    <w:rsid w:val="00F81E17"/>
    <w:rsid w:val="00F82C6E"/>
    <w:rsid w:val="00F82F5D"/>
    <w:rsid w:val="00F8303A"/>
    <w:rsid w:val="00F836E5"/>
    <w:rsid w:val="00F83878"/>
    <w:rsid w:val="00F842C4"/>
    <w:rsid w:val="00F85684"/>
    <w:rsid w:val="00F865FE"/>
    <w:rsid w:val="00F86CF8"/>
    <w:rsid w:val="00F90A68"/>
    <w:rsid w:val="00F91780"/>
    <w:rsid w:val="00F91AE2"/>
    <w:rsid w:val="00F91F3A"/>
    <w:rsid w:val="00F924B5"/>
    <w:rsid w:val="00F9335E"/>
    <w:rsid w:val="00F934DB"/>
    <w:rsid w:val="00F93613"/>
    <w:rsid w:val="00F93E76"/>
    <w:rsid w:val="00F93FAA"/>
    <w:rsid w:val="00F94F06"/>
    <w:rsid w:val="00F95F4A"/>
    <w:rsid w:val="00F95FDB"/>
    <w:rsid w:val="00F961A1"/>
    <w:rsid w:val="00F9675E"/>
    <w:rsid w:val="00F9676C"/>
    <w:rsid w:val="00F96B2A"/>
    <w:rsid w:val="00F96BA7"/>
    <w:rsid w:val="00F96F58"/>
    <w:rsid w:val="00F97111"/>
    <w:rsid w:val="00F97A93"/>
    <w:rsid w:val="00F97BD8"/>
    <w:rsid w:val="00FA149C"/>
    <w:rsid w:val="00FA17CE"/>
    <w:rsid w:val="00FA1D83"/>
    <w:rsid w:val="00FA21FE"/>
    <w:rsid w:val="00FA241C"/>
    <w:rsid w:val="00FA3E81"/>
    <w:rsid w:val="00FA436D"/>
    <w:rsid w:val="00FA554D"/>
    <w:rsid w:val="00FA5F28"/>
    <w:rsid w:val="00FA64F6"/>
    <w:rsid w:val="00FA6EDB"/>
    <w:rsid w:val="00FA70B4"/>
    <w:rsid w:val="00FA7153"/>
    <w:rsid w:val="00FA7161"/>
    <w:rsid w:val="00FA738E"/>
    <w:rsid w:val="00FA73C1"/>
    <w:rsid w:val="00FA7428"/>
    <w:rsid w:val="00FB11EC"/>
    <w:rsid w:val="00FB1507"/>
    <w:rsid w:val="00FB20DC"/>
    <w:rsid w:val="00FB21C5"/>
    <w:rsid w:val="00FB2631"/>
    <w:rsid w:val="00FB2F05"/>
    <w:rsid w:val="00FB3964"/>
    <w:rsid w:val="00FB39E3"/>
    <w:rsid w:val="00FB3A1A"/>
    <w:rsid w:val="00FB4285"/>
    <w:rsid w:val="00FC0005"/>
    <w:rsid w:val="00FC019C"/>
    <w:rsid w:val="00FC0E87"/>
    <w:rsid w:val="00FC113B"/>
    <w:rsid w:val="00FC3E2D"/>
    <w:rsid w:val="00FC47B7"/>
    <w:rsid w:val="00FC4D79"/>
    <w:rsid w:val="00FC51A1"/>
    <w:rsid w:val="00FC523F"/>
    <w:rsid w:val="00FC6BCF"/>
    <w:rsid w:val="00FC6CC4"/>
    <w:rsid w:val="00FC700A"/>
    <w:rsid w:val="00FC791F"/>
    <w:rsid w:val="00FC7A83"/>
    <w:rsid w:val="00FD0165"/>
    <w:rsid w:val="00FD01C2"/>
    <w:rsid w:val="00FD01D4"/>
    <w:rsid w:val="00FD03AD"/>
    <w:rsid w:val="00FD040E"/>
    <w:rsid w:val="00FD076D"/>
    <w:rsid w:val="00FD3A43"/>
    <w:rsid w:val="00FD4696"/>
    <w:rsid w:val="00FD51AB"/>
    <w:rsid w:val="00FD5E31"/>
    <w:rsid w:val="00FD6230"/>
    <w:rsid w:val="00FD6C80"/>
    <w:rsid w:val="00FD78AD"/>
    <w:rsid w:val="00FD7FB7"/>
    <w:rsid w:val="00FE0AB1"/>
    <w:rsid w:val="00FE1066"/>
    <w:rsid w:val="00FE1082"/>
    <w:rsid w:val="00FE1AEE"/>
    <w:rsid w:val="00FE1D41"/>
    <w:rsid w:val="00FE2CE5"/>
    <w:rsid w:val="00FE3CCD"/>
    <w:rsid w:val="00FE3CFA"/>
    <w:rsid w:val="00FE5084"/>
    <w:rsid w:val="00FE61B0"/>
    <w:rsid w:val="00FE64AB"/>
    <w:rsid w:val="00FE6A87"/>
    <w:rsid w:val="00FE6B05"/>
    <w:rsid w:val="00FE6DBD"/>
    <w:rsid w:val="00FE7DA5"/>
    <w:rsid w:val="00FE7E3B"/>
    <w:rsid w:val="00FF0780"/>
    <w:rsid w:val="00FF1211"/>
    <w:rsid w:val="00FF15F9"/>
    <w:rsid w:val="00FF1DCF"/>
    <w:rsid w:val="00FF1F0D"/>
    <w:rsid w:val="00FF29DC"/>
    <w:rsid w:val="00FF3EB5"/>
    <w:rsid w:val="00FF57A3"/>
    <w:rsid w:val="00FF584F"/>
    <w:rsid w:val="00FF5DFF"/>
    <w:rsid w:val="00FF6ABC"/>
    <w:rsid w:val="00FF75F8"/>
    <w:rsid w:val="00FF7D0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4b5760,#4b575f,#ecedef"/>
    </o:shapedefaults>
    <o:shapelayout v:ext="edit">
      <o:idmap v:ext="edit" data="2"/>
    </o:shapelayout>
  </w:shapeDefaults>
  <w:decimalSymbol w:val="."/>
  <w:listSeparator w:val=","/>
  <w14:docId w14:val="3AA4BECF"/>
  <w15:chartTrackingRefBased/>
  <w15:docId w15:val="{AA28BBF5-FE37-4D19-96A7-AFAF1EB78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ar-SA"/>
      </w:rPr>
    </w:rPrDefault>
    <w:pPrDefault>
      <w:pPr>
        <w:spacing w:beforeLines="100" w:before="100" w:afterLines="60" w:after="60" w:line="360" w:lineRule="auto"/>
        <w:ind w:left="709" w:right="284"/>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52A0"/>
    <w:rPr>
      <w:rFonts w:ascii="Arial" w:hAnsi="Arial"/>
      <w:sz w:val="22"/>
      <w:szCs w:val="22"/>
      <w:lang w:eastAsia="en-US"/>
    </w:rPr>
  </w:style>
  <w:style w:type="paragraph" w:styleId="Titre1">
    <w:name w:val="heading 1"/>
    <w:basedOn w:val="Normal"/>
    <w:next w:val="Normal"/>
    <w:link w:val="Titre1Car"/>
    <w:uiPriority w:val="9"/>
    <w:qFormat/>
    <w:rsid w:val="00C122F1"/>
    <w:pPr>
      <w:keepNext/>
      <w:numPr>
        <w:numId w:val="6"/>
      </w:numPr>
      <w:tabs>
        <w:tab w:val="left" w:pos="709"/>
      </w:tabs>
      <w:spacing w:before="280" w:after="240"/>
      <w:ind w:left="709" w:hanging="709"/>
      <w:outlineLvl w:val="0"/>
    </w:pPr>
    <w:rPr>
      <w:rFonts w:eastAsia="Times New Roman"/>
      <w:bCs/>
      <w:spacing w:val="-8"/>
      <w:kern w:val="32"/>
      <w:sz w:val="40"/>
      <w:szCs w:val="40"/>
    </w:rPr>
  </w:style>
  <w:style w:type="paragraph" w:styleId="Titre2">
    <w:name w:val="heading 2"/>
    <w:aliases w:val="Titre 21,t2.T2.Titre 2,t2,H2,Niveau 2,Niveau2,Contrat 2,Ctt,Heading 2,l2,I2,h2,Annexe 2,Sociétés,Überschrift 2 Anhang,Überschrift 2 Anhang1,Überschrift 2 Anhang2,Überschrift 2 Anhang11,Überschrift 2 Anhang21,Titre2,heading 2,(Shift Ctrl 2),t2.T2"/>
    <w:next w:val="Normal"/>
    <w:link w:val="Titre2Car"/>
    <w:uiPriority w:val="9"/>
    <w:unhideWhenUsed/>
    <w:qFormat/>
    <w:rsid w:val="00FD040E"/>
    <w:pPr>
      <w:keepNext/>
      <w:numPr>
        <w:ilvl w:val="1"/>
        <w:numId w:val="6"/>
      </w:numPr>
      <w:tabs>
        <w:tab w:val="left" w:pos="709"/>
      </w:tabs>
      <w:spacing w:before="240" w:after="144"/>
      <w:outlineLvl w:val="1"/>
    </w:pPr>
    <w:rPr>
      <w:rFonts w:ascii="Arial" w:eastAsiaTheme="majorEastAsia" w:hAnsi="Arial"/>
      <w:bCs/>
      <w:iCs/>
      <w:spacing w:val="-8"/>
      <w:sz w:val="32"/>
      <w:szCs w:val="32"/>
      <w:lang w:eastAsia="en-US"/>
    </w:rPr>
  </w:style>
  <w:style w:type="paragraph" w:styleId="Titre3">
    <w:name w:val="heading 3"/>
    <w:aliases w:val="H3,chapitre 1.1.1,Niveau 3,Niveau3,Contrat 3,Annexe 3,Heading 3,l3,CT,3,Titre3,heading 3,Headline3,(Shift Ctrl 3),Titre 3 SQ,t3,Titre 31,t3.T3,Level 3 Head,h3,Titre 3 SQ1,Titre 3 SQ2,Titre 3 SQ3,Titre 3 SQ4,Titre 3 SQ5,Titre 3 SQ6,Titre 3 SQ7"/>
    <w:basedOn w:val="Normal"/>
    <w:next w:val="Normal"/>
    <w:link w:val="Titre3Car"/>
    <w:uiPriority w:val="9"/>
    <w:unhideWhenUsed/>
    <w:qFormat/>
    <w:rsid w:val="00FD040E"/>
    <w:pPr>
      <w:keepNext/>
      <w:numPr>
        <w:ilvl w:val="2"/>
        <w:numId w:val="6"/>
      </w:numPr>
      <w:tabs>
        <w:tab w:val="left" w:pos="1560"/>
      </w:tabs>
      <w:spacing w:before="240" w:after="144"/>
      <w:ind w:left="1560" w:hanging="851"/>
      <w:outlineLvl w:val="2"/>
    </w:pPr>
    <w:rPr>
      <w:rFonts w:eastAsia="Times New Roman"/>
      <w:bCs/>
      <w:sz w:val="28"/>
      <w:szCs w:val="28"/>
    </w:rPr>
  </w:style>
  <w:style w:type="paragraph" w:styleId="Titre4">
    <w:name w:val="heading 4"/>
    <w:basedOn w:val="Normal"/>
    <w:next w:val="Normal"/>
    <w:link w:val="Titre4Car"/>
    <w:uiPriority w:val="9"/>
    <w:unhideWhenUsed/>
    <w:rsid w:val="00C122F1"/>
    <w:pPr>
      <w:keepNext/>
      <w:spacing w:before="200"/>
      <w:outlineLvl w:val="3"/>
    </w:pPr>
    <w:rPr>
      <w:rFonts w:eastAsia="Times New Roman"/>
      <w:b/>
      <w:bCs/>
      <w:szCs w:val="28"/>
    </w:rPr>
  </w:style>
  <w:style w:type="paragraph" w:styleId="Titre5">
    <w:name w:val="heading 5"/>
    <w:basedOn w:val="Normal"/>
    <w:next w:val="Normal"/>
    <w:link w:val="Titre5Car"/>
    <w:uiPriority w:val="9"/>
    <w:semiHidden/>
    <w:unhideWhenUsed/>
    <w:rsid w:val="00395D04"/>
    <w:pPr>
      <w:spacing w:before="240"/>
      <w:outlineLvl w:val="4"/>
    </w:pPr>
    <w:rPr>
      <w:rFonts w:ascii="Calibri" w:eastAsia="Times New Roman" w:hAnsi="Calibri"/>
      <w:b/>
      <w:bCs/>
      <w:i/>
      <w:iCs/>
      <w:sz w:val="26"/>
      <w:szCs w:val="26"/>
    </w:rPr>
  </w:style>
  <w:style w:type="paragraph" w:styleId="Titre7">
    <w:name w:val="heading 7"/>
    <w:basedOn w:val="Normal"/>
    <w:next w:val="Normal"/>
    <w:link w:val="Titre7Car"/>
    <w:uiPriority w:val="9"/>
    <w:semiHidden/>
    <w:unhideWhenUsed/>
    <w:qFormat/>
    <w:rsid w:val="008C755B"/>
    <w:pPr>
      <w:keepNext/>
      <w:keepLines/>
      <w:spacing w:before="40" w:after="0"/>
      <w:outlineLvl w:val="6"/>
    </w:pPr>
    <w:rPr>
      <w:rFonts w:asciiTheme="majorHAnsi" w:eastAsiaTheme="majorEastAsia" w:hAnsiTheme="majorHAnsi" w:cstheme="majorBidi"/>
      <w:i/>
      <w:iCs/>
      <w:color w:val="1F4D78"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D43FB7"/>
    <w:pPr>
      <w:tabs>
        <w:tab w:val="center" w:pos="4536"/>
        <w:tab w:val="right" w:pos="9072"/>
      </w:tabs>
    </w:pPr>
  </w:style>
  <w:style w:type="character" w:customStyle="1" w:styleId="En-tteCar">
    <w:name w:val="En-tête Car"/>
    <w:link w:val="En-tte"/>
    <w:uiPriority w:val="99"/>
    <w:rsid w:val="00D43FB7"/>
    <w:rPr>
      <w:sz w:val="22"/>
      <w:szCs w:val="22"/>
      <w:lang w:eastAsia="en-US"/>
    </w:rPr>
  </w:style>
  <w:style w:type="paragraph" w:styleId="Pieddepage">
    <w:name w:val="footer"/>
    <w:basedOn w:val="Normal"/>
    <w:link w:val="PieddepageCar"/>
    <w:uiPriority w:val="99"/>
    <w:unhideWhenUsed/>
    <w:rsid w:val="00730FE0"/>
    <w:pPr>
      <w:tabs>
        <w:tab w:val="center" w:pos="4536"/>
        <w:tab w:val="right" w:pos="9072"/>
      </w:tabs>
    </w:pPr>
  </w:style>
  <w:style w:type="character" w:customStyle="1" w:styleId="PieddepageCar">
    <w:name w:val="Pied de page Car"/>
    <w:link w:val="Pieddepage"/>
    <w:uiPriority w:val="99"/>
    <w:rsid w:val="00730FE0"/>
    <w:rPr>
      <w:rFonts w:ascii="Arial" w:hAnsi="Arial"/>
      <w:sz w:val="22"/>
      <w:szCs w:val="22"/>
      <w:lang w:eastAsia="en-US"/>
    </w:rPr>
  </w:style>
  <w:style w:type="table" w:styleId="Grilledutableau">
    <w:name w:val="Table Grid"/>
    <w:basedOn w:val="TableauNormal"/>
    <w:uiPriority w:val="59"/>
    <w:rsid w:val="00AC3B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reProjet">
    <w:name w:val="Titre_Projet"/>
    <w:basedOn w:val="Normal"/>
    <w:rsid w:val="001E7330"/>
    <w:pPr>
      <w:spacing w:before="480" w:line="660" w:lineRule="exact"/>
      <w:ind w:left="743" w:right="459"/>
    </w:pPr>
    <w:rPr>
      <w:noProof/>
      <w:spacing w:val="-20"/>
      <w:sz w:val="60"/>
      <w:szCs w:val="60"/>
      <w:lang w:eastAsia="fr-FR"/>
    </w:rPr>
  </w:style>
  <w:style w:type="paragraph" w:customStyle="1" w:styleId="TypeDoc">
    <w:name w:val="Type_Doc"/>
    <w:basedOn w:val="Normal"/>
    <w:rsid w:val="006C2B90"/>
    <w:pPr>
      <w:spacing w:before="180" w:after="460"/>
      <w:jc w:val="right"/>
    </w:pPr>
    <w:rPr>
      <w:caps/>
      <w:spacing w:val="-20"/>
      <w:sz w:val="28"/>
      <w:szCs w:val="28"/>
    </w:rPr>
  </w:style>
  <w:style w:type="paragraph" w:customStyle="1" w:styleId="titreobjetproposition">
    <w:name w:val="titre_objet_proposition"/>
    <w:basedOn w:val="Normal"/>
    <w:rsid w:val="0032405F"/>
    <w:pPr>
      <w:spacing w:before="0" w:after="0"/>
      <w:ind w:left="743"/>
    </w:pPr>
    <w:rPr>
      <w:color w:val="FFFFFF"/>
      <w:spacing w:val="-20"/>
      <w:sz w:val="28"/>
      <w:szCs w:val="28"/>
    </w:rPr>
  </w:style>
  <w:style w:type="paragraph" w:customStyle="1" w:styleId="Titreencadre">
    <w:name w:val="Titre_encadre"/>
    <w:basedOn w:val="Normal"/>
    <w:rsid w:val="008E77AD"/>
    <w:pPr>
      <w:numPr>
        <w:numId w:val="1"/>
      </w:numPr>
      <w:spacing w:before="200" w:after="0"/>
      <w:ind w:left="445" w:hanging="275"/>
    </w:pPr>
    <w:rPr>
      <w:b/>
      <w:spacing w:val="-10"/>
    </w:rPr>
  </w:style>
  <w:style w:type="paragraph" w:customStyle="1" w:styleId="texteencadre">
    <w:name w:val="texte_encadre"/>
    <w:basedOn w:val="Normal"/>
    <w:rsid w:val="00FD01D4"/>
    <w:pPr>
      <w:spacing w:before="0" w:after="0"/>
      <w:ind w:left="454"/>
    </w:pPr>
    <w:rPr>
      <w:spacing w:val="-10"/>
    </w:rPr>
  </w:style>
  <w:style w:type="paragraph" w:customStyle="1" w:styleId="Titreversion">
    <w:name w:val="Titre_version"/>
    <w:rsid w:val="003D1710"/>
    <w:rPr>
      <w:rFonts w:ascii="Arial" w:hAnsi="Arial"/>
      <w:b/>
      <w:sz w:val="28"/>
      <w:szCs w:val="28"/>
      <w:lang w:eastAsia="en-US"/>
    </w:rPr>
  </w:style>
  <w:style w:type="paragraph" w:customStyle="1" w:styleId="Titresommaire">
    <w:name w:val="Titre_sommaire"/>
    <w:basedOn w:val="Normal"/>
    <w:rsid w:val="005A7F6C"/>
    <w:pPr>
      <w:spacing w:before="300" w:after="120"/>
      <w:ind w:left="465"/>
    </w:pPr>
    <w:rPr>
      <w:noProof/>
      <w:spacing w:val="-20"/>
      <w:sz w:val="60"/>
      <w:szCs w:val="60"/>
      <w:lang w:eastAsia="fr-FR"/>
    </w:rPr>
  </w:style>
  <w:style w:type="numbering" w:customStyle="1" w:styleId="listeHVS">
    <w:name w:val="liste_HVS"/>
    <w:uiPriority w:val="99"/>
    <w:rsid w:val="00F934DB"/>
    <w:pPr>
      <w:numPr>
        <w:numId w:val="2"/>
      </w:numPr>
    </w:pPr>
  </w:style>
  <w:style w:type="paragraph" w:styleId="TM1">
    <w:name w:val="toc 1"/>
    <w:basedOn w:val="Normal"/>
    <w:next w:val="Normal"/>
    <w:autoRedefine/>
    <w:uiPriority w:val="39"/>
    <w:unhideWhenUsed/>
    <w:rsid w:val="00D775C1"/>
    <w:pPr>
      <w:tabs>
        <w:tab w:val="left" w:pos="998"/>
        <w:tab w:val="right" w:leader="dot" w:pos="9815"/>
      </w:tabs>
      <w:spacing w:before="60" w:line="340" w:lineRule="exact"/>
      <w:ind w:left="998" w:hanging="278"/>
    </w:pPr>
    <w:rPr>
      <w:bCs/>
      <w:noProof/>
      <w:spacing w:val="-8"/>
      <w:sz w:val="24"/>
      <w:szCs w:val="24"/>
    </w:rPr>
  </w:style>
  <w:style w:type="paragraph" w:styleId="TM2">
    <w:name w:val="toc 2"/>
    <w:basedOn w:val="Normal"/>
    <w:next w:val="Normal"/>
    <w:autoRedefine/>
    <w:uiPriority w:val="39"/>
    <w:unhideWhenUsed/>
    <w:rsid w:val="00B33D4C"/>
    <w:pPr>
      <w:tabs>
        <w:tab w:val="left" w:pos="1593"/>
        <w:tab w:val="right" w:leader="dot" w:pos="9815"/>
      </w:tabs>
      <w:spacing w:before="60" w:line="320" w:lineRule="exact"/>
      <w:ind w:left="1593" w:hanging="567"/>
    </w:pPr>
    <w:rPr>
      <w:iCs/>
      <w:noProof/>
      <w:spacing w:val="-8"/>
    </w:rPr>
  </w:style>
  <w:style w:type="paragraph" w:styleId="TM3">
    <w:name w:val="toc 3"/>
    <w:basedOn w:val="Normal"/>
    <w:next w:val="Normal"/>
    <w:autoRedefine/>
    <w:uiPriority w:val="39"/>
    <w:unhideWhenUsed/>
    <w:rsid w:val="00B33D4C"/>
    <w:pPr>
      <w:tabs>
        <w:tab w:val="left" w:pos="2020"/>
        <w:tab w:val="right" w:leader="dot" w:pos="9815"/>
      </w:tabs>
      <w:spacing w:before="60" w:line="300" w:lineRule="exact"/>
      <w:ind w:left="2302" w:hanging="709"/>
    </w:pPr>
    <w:rPr>
      <w:noProof/>
      <w:spacing w:val="-8"/>
      <w:sz w:val="20"/>
      <w:szCs w:val="20"/>
    </w:rPr>
  </w:style>
  <w:style w:type="paragraph" w:customStyle="1" w:styleId="prochainerunion">
    <w:name w:val="prochaine_réunion"/>
    <w:rsid w:val="007D52C4"/>
    <w:pPr>
      <w:spacing w:before="60"/>
      <w:ind w:left="284"/>
    </w:pPr>
    <w:rPr>
      <w:rFonts w:ascii="Arial" w:hAnsi="Arial"/>
      <w:b/>
      <w:sz w:val="22"/>
      <w:szCs w:val="22"/>
      <w:lang w:eastAsia="en-US"/>
    </w:rPr>
  </w:style>
  <w:style w:type="character" w:customStyle="1" w:styleId="Titre1Car">
    <w:name w:val="Titre 1 Car"/>
    <w:link w:val="Titre1"/>
    <w:uiPriority w:val="9"/>
    <w:rsid w:val="00C122F1"/>
    <w:rPr>
      <w:rFonts w:ascii="Arial" w:eastAsia="Times New Roman" w:hAnsi="Arial"/>
      <w:bCs/>
      <w:spacing w:val="-8"/>
      <w:kern w:val="32"/>
      <w:sz w:val="40"/>
      <w:szCs w:val="40"/>
      <w:lang w:eastAsia="en-US"/>
    </w:rPr>
  </w:style>
  <w:style w:type="character" w:customStyle="1" w:styleId="Titre2Car">
    <w:name w:val="Titre 2 Car"/>
    <w:aliases w:val="Titre 21 Car,t2.T2.Titre 2 Car,t2 Car,H2 Car,Niveau 2 Car,Niveau2 Car,Contrat 2 Car,Ctt Car,Heading 2 Car,l2 Car,I2 Car,h2 Car,Annexe 2 Car,Sociétés Car,Überschrift 2 Anhang Car,Überschrift 2 Anhang1 Car,Überschrift 2 Anhang2 Car,Titre2 Car"/>
    <w:link w:val="Titre2"/>
    <w:uiPriority w:val="9"/>
    <w:rsid w:val="00FD040E"/>
    <w:rPr>
      <w:rFonts w:ascii="Arial" w:eastAsiaTheme="majorEastAsia" w:hAnsi="Arial"/>
      <w:bCs/>
      <w:iCs/>
      <w:spacing w:val="-8"/>
      <w:sz w:val="32"/>
      <w:szCs w:val="32"/>
      <w:lang w:eastAsia="en-US"/>
    </w:rPr>
  </w:style>
  <w:style w:type="character" w:customStyle="1" w:styleId="Titre3Car">
    <w:name w:val="Titre 3 Car"/>
    <w:aliases w:val="H3 Car,chapitre 1.1.1 Car,Niveau 3 Car,Niveau3 Car,Contrat 3 Car,Annexe 3 Car,Heading 3 Car,l3 Car,CT Car,3 Car,Titre3 Car,heading 3 Car,Headline3 Car,(Shift Ctrl 3) Car,Titre 3 SQ Car,t3 Car,Titre 31 Car,t3.T3 Car,Level 3 Head Car,h3 Car"/>
    <w:link w:val="Titre3"/>
    <w:uiPriority w:val="9"/>
    <w:rsid w:val="00FD040E"/>
    <w:rPr>
      <w:rFonts w:ascii="Arial" w:eastAsia="Times New Roman" w:hAnsi="Arial"/>
      <w:bCs/>
      <w:sz w:val="28"/>
      <w:szCs w:val="28"/>
      <w:lang w:eastAsia="en-US"/>
    </w:rPr>
  </w:style>
  <w:style w:type="numbering" w:customStyle="1" w:styleId="listeHVSnotetech">
    <w:name w:val="liste_HVS_note_tech"/>
    <w:uiPriority w:val="99"/>
    <w:rsid w:val="0041680C"/>
    <w:pPr>
      <w:numPr>
        <w:numId w:val="3"/>
      </w:numPr>
    </w:pPr>
  </w:style>
  <w:style w:type="character" w:styleId="Lienhypertexte">
    <w:name w:val="Hyperlink"/>
    <w:uiPriority w:val="99"/>
    <w:unhideWhenUsed/>
    <w:rsid w:val="00AA709B"/>
    <w:rPr>
      <w:color w:val="0000FF"/>
      <w:u w:val="single"/>
    </w:rPr>
  </w:style>
  <w:style w:type="paragraph" w:styleId="En-ttedetabledesmatires">
    <w:name w:val="TOC Heading"/>
    <w:basedOn w:val="Titre1"/>
    <w:next w:val="Normal"/>
    <w:uiPriority w:val="39"/>
    <w:semiHidden/>
    <w:unhideWhenUsed/>
    <w:qFormat/>
    <w:rsid w:val="00201BB4"/>
    <w:pPr>
      <w:keepLines/>
      <w:numPr>
        <w:numId w:val="0"/>
      </w:numPr>
      <w:spacing w:before="480" w:after="0" w:line="276" w:lineRule="auto"/>
      <w:outlineLvl w:val="9"/>
    </w:pPr>
    <w:rPr>
      <w:rFonts w:ascii="Cambria" w:hAnsi="Cambria"/>
      <w:color w:val="365F91"/>
      <w:spacing w:val="0"/>
      <w:kern w:val="0"/>
      <w:sz w:val="28"/>
      <w:szCs w:val="28"/>
      <w:lang w:eastAsia="fr-FR"/>
    </w:rPr>
  </w:style>
  <w:style w:type="paragraph" w:styleId="Textedebulles">
    <w:name w:val="Balloon Text"/>
    <w:basedOn w:val="Normal"/>
    <w:link w:val="TextedebullesCar"/>
    <w:uiPriority w:val="99"/>
    <w:semiHidden/>
    <w:unhideWhenUsed/>
    <w:rsid w:val="00201BB4"/>
    <w:pPr>
      <w:spacing w:after="0"/>
    </w:pPr>
    <w:rPr>
      <w:rFonts w:ascii="Tahoma" w:hAnsi="Tahoma" w:cs="Tahoma"/>
      <w:sz w:val="16"/>
      <w:szCs w:val="16"/>
    </w:rPr>
  </w:style>
  <w:style w:type="character" w:customStyle="1" w:styleId="TextedebullesCar">
    <w:name w:val="Texte de bulles Car"/>
    <w:link w:val="Textedebulles"/>
    <w:uiPriority w:val="99"/>
    <w:semiHidden/>
    <w:rsid w:val="00201BB4"/>
    <w:rPr>
      <w:rFonts w:ascii="Tahoma" w:hAnsi="Tahoma" w:cs="Tahoma"/>
      <w:color w:val="4B575F"/>
      <w:sz w:val="16"/>
      <w:szCs w:val="16"/>
      <w:lang w:eastAsia="en-US"/>
    </w:rPr>
  </w:style>
  <w:style w:type="paragraph" w:styleId="TM4">
    <w:name w:val="toc 4"/>
    <w:basedOn w:val="Normal"/>
    <w:next w:val="Normal"/>
    <w:autoRedefine/>
    <w:uiPriority w:val="39"/>
    <w:unhideWhenUsed/>
    <w:rsid w:val="00201BB4"/>
    <w:pPr>
      <w:spacing w:after="0"/>
      <w:ind w:left="660"/>
    </w:pPr>
    <w:rPr>
      <w:rFonts w:ascii="Calibri" w:hAnsi="Calibri"/>
      <w:sz w:val="20"/>
      <w:szCs w:val="20"/>
    </w:rPr>
  </w:style>
  <w:style w:type="paragraph" w:styleId="TM5">
    <w:name w:val="toc 5"/>
    <w:basedOn w:val="Normal"/>
    <w:next w:val="Normal"/>
    <w:autoRedefine/>
    <w:uiPriority w:val="39"/>
    <w:unhideWhenUsed/>
    <w:rsid w:val="00201BB4"/>
    <w:pPr>
      <w:spacing w:after="0"/>
      <w:ind w:left="880"/>
    </w:pPr>
    <w:rPr>
      <w:rFonts w:ascii="Calibri" w:hAnsi="Calibri"/>
      <w:sz w:val="20"/>
      <w:szCs w:val="20"/>
    </w:rPr>
  </w:style>
  <w:style w:type="paragraph" w:styleId="TM6">
    <w:name w:val="toc 6"/>
    <w:basedOn w:val="Normal"/>
    <w:next w:val="Normal"/>
    <w:autoRedefine/>
    <w:uiPriority w:val="39"/>
    <w:unhideWhenUsed/>
    <w:rsid w:val="00201BB4"/>
    <w:pPr>
      <w:spacing w:after="0"/>
      <w:ind w:left="1100"/>
    </w:pPr>
    <w:rPr>
      <w:rFonts w:ascii="Calibri" w:hAnsi="Calibri"/>
      <w:sz w:val="20"/>
      <w:szCs w:val="20"/>
    </w:rPr>
  </w:style>
  <w:style w:type="paragraph" w:styleId="TM7">
    <w:name w:val="toc 7"/>
    <w:basedOn w:val="Normal"/>
    <w:next w:val="Normal"/>
    <w:autoRedefine/>
    <w:uiPriority w:val="39"/>
    <w:unhideWhenUsed/>
    <w:rsid w:val="00201BB4"/>
    <w:pPr>
      <w:spacing w:after="0"/>
      <w:ind w:left="1320"/>
    </w:pPr>
    <w:rPr>
      <w:rFonts w:ascii="Calibri" w:hAnsi="Calibri"/>
      <w:sz w:val="20"/>
      <w:szCs w:val="20"/>
    </w:rPr>
  </w:style>
  <w:style w:type="paragraph" w:styleId="TM8">
    <w:name w:val="toc 8"/>
    <w:basedOn w:val="Normal"/>
    <w:next w:val="Normal"/>
    <w:autoRedefine/>
    <w:uiPriority w:val="39"/>
    <w:unhideWhenUsed/>
    <w:rsid w:val="00201BB4"/>
    <w:pPr>
      <w:spacing w:after="0"/>
      <w:ind w:left="1540"/>
    </w:pPr>
    <w:rPr>
      <w:rFonts w:ascii="Calibri" w:hAnsi="Calibri"/>
      <w:sz w:val="20"/>
      <w:szCs w:val="20"/>
    </w:rPr>
  </w:style>
  <w:style w:type="paragraph" w:styleId="TM9">
    <w:name w:val="toc 9"/>
    <w:basedOn w:val="Normal"/>
    <w:next w:val="Normal"/>
    <w:autoRedefine/>
    <w:uiPriority w:val="39"/>
    <w:unhideWhenUsed/>
    <w:rsid w:val="00201BB4"/>
    <w:pPr>
      <w:spacing w:after="0"/>
      <w:ind w:left="1760"/>
    </w:pPr>
    <w:rPr>
      <w:rFonts w:ascii="Calibri" w:hAnsi="Calibri"/>
      <w:sz w:val="20"/>
      <w:szCs w:val="20"/>
    </w:rPr>
  </w:style>
  <w:style w:type="paragraph" w:customStyle="1" w:styleId="Puce10">
    <w:name w:val="Puce_1"/>
    <w:qFormat/>
    <w:rsid w:val="00FD040E"/>
    <w:pPr>
      <w:numPr>
        <w:numId w:val="7"/>
      </w:numPr>
      <w:spacing w:before="240" w:after="144"/>
    </w:pPr>
    <w:rPr>
      <w:rFonts w:ascii="Arial" w:hAnsi="Arial"/>
      <w:b/>
      <w:i/>
      <w:sz w:val="24"/>
      <w:szCs w:val="24"/>
      <w:lang w:eastAsia="en-US"/>
    </w:rPr>
  </w:style>
  <w:style w:type="paragraph" w:customStyle="1" w:styleId="Suitepuce1">
    <w:name w:val="Suite_puce_1"/>
    <w:rsid w:val="00C122F1"/>
    <w:pPr>
      <w:spacing w:before="60" w:after="40"/>
      <w:ind w:left="992"/>
    </w:pPr>
    <w:rPr>
      <w:rFonts w:ascii="Arial" w:hAnsi="Arial"/>
      <w:sz w:val="22"/>
      <w:szCs w:val="22"/>
      <w:lang w:eastAsia="en-US"/>
    </w:rPr>
  </w:style>
  <w:style w:type="paragraph" w:customStyle="1" w:styleId="Puce2">
    <w:name w:val="Puce_2"/>
    <w:qFormat/>
    <w:rsid w:val="000037EF"/>
    <w:pPr>
      <w:numPr>
        <w:numId w:val="4"/>
      </w:numPr>
      <w:spacing w:before="240" w:after="144"/>
    </w:pPr>
    <w:rPr>
      <w:rFonts w:ascii="Arial" w:hAnsi="Arial"/>
      <w:b/>
      <w:sz w:val="22"/>
      <w:szCs w:val="22"/>
      <w:lang w:eastAsia="en-US"/>
    </w:rPr>
  </w:style>
  <w:style w:type="paragraph" w:customStyle="1" w:styleId="Suitepuce2">
    <w:name w:val="Suite_puce_2"/>
    <w:rsid w:val="00C122F1"/>
    <w:pPr>
      <w:spacing w:before="60" w:after="40"/>
      <w:ind w:left="1276"/>
    </w:pPr>
    <w:rPr>
      <w:rFonts w:ascii="Arial" w:hAnsi="Arial"/>
      <w:sz w:val="22"/>
      <w:szCs w:val="22"/>
      <w:lang w:eastAsia="en-US"/>
    </w:rPr>
  </w:style>
  <w:style w:type="character" w:customStyle="1" w:styleId="Titre4Car">
    <w:name w:val="Titre 4 Car"/>
    <w:link w:val="Titre4"/>
    <w:uiPriority w:val="9"/>
    <w:rsid w:val="00C122F1"/>
    <w:rPr>
      <w:rFonts w:ascii="Arial" w:eastAsia="Times New Roman" w:hAnsi="Arial"/>
      <w:b/>
      <w:bCs/>
      <w:sz w:val="22"/>
      <w:szCs w:val="28"/>
      <w:lang w:eastAsia="en-US"/>
    </w:rPr>
  </w:style>
  <w:style w:type="character" w:customStyle="1" w:styleId="Pieddepagerouge">
    <w:name w:val="Pied_de_page_rouge"/>
    <w:uiPriority w:val="1"/>
    <w:rsid w:val="0084243D"/>
    <w:rPr>
      <w:b/>
      <w:caps/>
      <w:smallCaps w:val="0"/>
      <w:color w:val="DC002E"/>
      <w:sz w:val="16"/>
      <w:szCs w:val="16"/>
    </w:rPr>
  </w:style>
  <w:style w:type="paragraph" w:customStyle="1" w:styleId="Pucenumerotee">
    <w:name w:val="Puce_numerotee"/>
    <w:rsid w:val="00FA738E"/>
    <w:pPr>
      <w:numPr>
        <w:numId w:val="5"/>
      </w:numPr>
      <w:spacing w:before="60" w:after="40"/>
      <w:ind w:left="993" w:hanging="284"/>
    </w:pPr>
    <w:rPr>
      <w:rFonts w:ascii="Arial" w:hAnsi="Arial"/>
      <w:sz w:val="22"/>
      <w:szCs w:val="22"/>
      <w:lang w:eastAsia="en-US"/>
    </w:rPr>
  </w:style>
  <w:style w:type="numbering" w:customStyle="1" w:styleId="Style1">
    <w:name w:val="Style1"/>
    <w:uiPriority w:val="99"/>
    <w:rsid w:val="00035EC8"/>
    <w:pPr>
      <w:numPr>
        <w:numId w:val="31"/>
      </w:numPr>
    </w:pPr>
  </w:style>
  <w:style w:type="paragraph" w:customStyle="1" w:styleId="Suitepucenumerotee">
    <w:name w:val="Suite_puce_numerotee"/>
    <w:rsid w:val="00FA738E"/>
    <w:pPr>
      <w:spacing w:before="60" w:after="40"/>
      <w:ind w:left="992"/>
    </w:pPr>
    <w:rPr>
      <w:rFonts w:ascii="Arial" w:hAnsi="Arial"/>
      <w:sz w:val="22"/>
      <w:szCs w:val="22"/>
      <w:lang w:eastAsia="en-US"/>
    </w:rPr>
  </w:style>
  <w:style w:type="table" w:styleId="Trameclaire-Accent1">
    <w:name w:val="Light Shading Accent 1"/>
    <w:basedOn w:val="TableauNormal"/>
    <w:uiPriority w:val="60"/>
    <w:rsid w:val="00B75DE0"/>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customStyle="1" w:styleId="legendetableau">
    <w:name w:val="legende_tableau"/>
    <w:qFormat/>
    <w:rsid w:val="0096271B"/>
    <w:rPr>
      <w:rFonts w:ascii="Arial" w:hAnsi="Arial"/>
      <w:sz w:val="16"/>
      <w:szCs w:val="16"/>
      <w:lang w:eastAsia="en-US"/>
    </w:rPr>
  </w:style>
  <w:style w:type="paragraph" w:customStyle="1" w:styleId="normaltableau">
    <w:name w:val="normal_tableau"/>
    <w:basedOn w:val="Normal"/>
    <w:qFormat/>
    <w:rsid w:val="00E65E74"/>
    <w:pPr>
      <w:spacing w:before="240" w:after="144"/>
    </w:pPr>
  </w:style>
  <w:style w:type="paragraph" w:customStyle="1" w:styleId="titretableau">
    <w:name w:val="titre_tableau"/>
    <w:basedOn w:val="Normal"/>
    <w:qFormat/>
    <w:rsid w:val="002331A2"/>
    <w:pPr>
      <w:ind w:left="0"/>
    </w:pPr>
    <w:rPr>
      <w:color w:val="FFFFFF"/>
      <w:szCs w:val="24"/>
    </w:rPr>
  </w:style>
  <w:style w:type="paragraph" w:customStyle="1" w:styleId="titreclient">
    <w:name w:val="titre_client"/>
    <w:basedOn w:val="titreobjetproposition"/>
    <w:rsid w:val="00CE0D08"/>
    <w:rPr>
      <w:sz w:val="24"/>
      <w:szCs w:val="24"/>
    </w:rPr>
  </w:style>
  <w:style w:type="paragraph" w:customStyle="1" w:styleId="Titrepartieencadre">
    <w:name w:val="Titre_partie_encadre"/>
    <w:basedOn w:val="Titreencadre"/>
    <w:rsid w:val="005565F6"/>
    <w:pPr>
      <w:numPr>
        <w:numId w:val="0"/>
      </w:numPr>
      <w:ind w:left="170"/>
    </w:pPr>
    <w:rPr>
      <w:caps/>
    </w:rPr>
  </w:style>
  <w:style w:type="paragraph" w:customStyle="1" w:styleId="codesources">
    <w:name w:val="code_sources"/>
    <w:basedOn w:val="Normal"/>
    <w:rsid w:val="000B524C"/>
    <w:rPr>
      <w:rFonts w:ascii="Courier New" w:hAnsi="Courier New" w:cs="Courier New"/>
      <w:sz w:val="18"/>
      <w:szCs w:val="18"/>
    </w:rPr>
  </w:style>
  <w:style w:type="paragraph" w:customStyle="1" w:styleId="Important">
    <w:name w:val="Important"/>
    <w:basedOn w:val="Normal"/>
    <w:rsid w:val="00C0258E"/>
    <w:pPr>
      <w:pBdr>
        <w:left w:val="single" w:sz="24" w:space="4" w:color="CF003D"/>
      </w:pBdr>
      <w:ind w:left="896"/>
    </w:pPr>
  </w:style>
  <w:style w:type="character" w:customStyle="1" w:styleId="Titre5Car">
    <w:name w:val="Titre 5 Car"/>
    <w:link w:val="Titre5"/>
    <w:uiPriority w:val="9"/>
    <w:semiHidden/>
    <w:rsid w:val="00395D04"/>
    <w:rPr>
      <w:rFonts w:ascii="Calibri" w:eastAsia="Times New Roman" w:hAnsi="Calibri" w:cs="Times New Roman"/>
      <w:b/>
      <w:bCs/>
      <w:i/>
      <w:iCs/>
      <w:sz w:val="26"/>
      <w:szCs w:val="26"/>
      <w:lang w:eastAsia="en-US"/>
    </w:rPr>
  </w:style>
  <w:style w:type="paragraph" w:customStyle="1" w:styleId="titreencadrehorscadre">
    <w:name w:val="titre_encadre_hors_cadre"/>
    <w:basedOn w:val="Titreencadre"/>
    <w:rsid w:val="00FD01D4"/>
    <w:pPr>
      <w:spacing w:before="40"/>
      <w:ind w:left="567" w:hanging="283"/>
    </w:pPr>
    <w:rPr>
      <w:b w:val="0"/>
    </w:rPr>
  </w:style>
  <w:style w:type="table" w:styleId="Listemoyenne1">
    <w:name w:val="Medium List 1"/>
    <w:basedOn w:val="Listemoyenne1-Accent2"/>
    <w:uiPriority w:val="65"/>
    <w:rsid w:val="00CD7E3F"/>
    <w:tblPr>
      <w:tblBorders>
        <w:top w:val="single" w:sz="8" w:space="0" w:color="000000"/>
        <w:bottom w:val="single" w:sz="8" w:space="0" w:color="000000"/>
      </w:tblBorders>
    </w:tblPr>
    <w:tblStylePr w:type="firstRow">
      <w:rPr>
        <w:rFonts w:ascii="Calibri Light" w:eastAsia="Times New Roman" w:hAnsi="Calibri Light"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paragraph" w:customStyle="1" w:styleId="paragraphetransition">
    <w:name w:val="paragraphe_transition"/>
    <w:basedOn w:val="Normal"/>
    <w:rsid w:val="00E16F9C"/>
    <w:pPr>
      <w:spacing w:before="6000"/>
    </w:pPr>
  </w:style>
  <w:style w:type="paragraph" w:customStyle="1" w:styleId="soustitretransition">
    <w:name w:val="sous_titre_transition"/>
    <w:basedOn w:val="Normal"/>
    <w:rsid w:val="00B51005"/>
    <w:pPr>
      <w:ind w:left="743"/>
    </w:pPr>
    <w:rPr>
      <w:spacing w:val="-20"/>
      <w:sz w:val="28"/>
      <w:szCs w:val="24"/>
    </w:rPr>
  </w:style>
  <w:style w:type="table" w:styleId="Listemoyenne1-Accent2">
    <w:name w:val="Medium List 1 Accent 2"/>
    <w:basedOn w:val="TableauNormal"/>
    <w:uiPriority w:val="65"/>
    <w:rsid w:val="00B92F7B"/>
    <w:rPr>
      <w:color w:val="000000"/>
    </w:rPr>
    <w:tblPr>
      <w:tblStyleRowBandSize w:val="1"/>
      <w:tblStyleColBandSize w:val="1"/>
      <w:tblBorders>
        <w:top w:val="single" w:sz="8" w:space="0" w:color="C0504D"/>
        <w:bottom w:val="single" w:sz="8" w:space="0" w:color="C0504D"/>
      </w:tblBorders>
    </w:tblPr>
    <w:tblStylePr w:type="firstRow">
      <w:rPr>
        <w:rFonts w:ascii="Calibri Light" w:eastAsia="Times New Roman" w:hAnsi="Calibri Light"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paragraph" w:customStyle="1" w:styleId="Titretransition">
    <w:name w:val="Titre_transition"/>
    <w:basedOn w:val="Normal"/>
    <w:rsid w:val="00B51005"/>
    <w:pPr>
      <w:spacing w:before="480" w:after="0"/>
      <w:ind w:left="743"/>
    </w:pPr>
    <w:rPr>
      <w:spacing w:val="-20"/>
      <w:sz w:val="40"/>
      <w:szCs w:val="32"/>
    </w:rPr>
  </w:style>
  <w:style w:type="table" w:customStyle="1" w:styleId="TABLEAUHVS">
    <w:name w:val="TABLEAUHVS"/>
    <w:basedOn w:val="TableauNormal"/>
    <w:uiPriority w:val="99"/>
    <w:rsid w:val="00824DA4"/>
    <w:rPr>
      <w:rFonts w:ascii="Arial" w:hAnsi="Arial"/>
      <w:sz w:val="22"/>
    </w:rPr>
    <w:tblPr>
      <w:tblStyleRowBandSize w:val="1"/>
      <w:tblInd w:w="816" w:type="dxa"/>
    </w:tblPr>
    <w:tcPr>
      <w:shd w:val="clear" w:color="auto" w:fill="auto"/>
    </w:tcPr>
    <w:tblStylePr w:type="firstRow">
      <w:rPr>
        <w:rFonts w:ascii="Arial" w:hAnsi="Arial"/>
        <w:color w:val="FFFFFF"/>
        <w:sz w:val="22"/>
      </w:rPr>
      <w:tblPr/>
      <w:tcPr>
        <w:shd w:val="clear" w:color="auto" w:fill="4B575F"/>
      </w:tcPr>
    </w:tblStylePr>
    <w:tblStylePr w:type="lastRow">
      <w:pPr>
        <w:jc w:val="left"/>
      </w:pPr>
    </w:tblStylePr>
    <w:tblStylePr w:type="band1Horz">
      <w:rPr>
        <w:rFonts w:ascii="Arial" w:hAnsi="Arial"/>
        <w:sz w:val="22"/>
      </w:rPr>
    </w:tblStylePr>
    <w:tblStylePr w:type="band2Horz">
      <w:rPr>
        <w:rFonts w:ascii="Arial" w:hAnsi="Arial"/>
        <w:sz w:val="22"/>
      </w:rPr>
      <w:tblPr/>
      <w:tcPr>
        <w:shd w:val="clear" w:color="auto" w:fill="C0C0C0"/>
      </w:tcPr>
    </w:tblStylePr>
  </w:style>
  <w:style w:type="table" w:styleId="Ombrageclair">
    <w:name w:val="Light Shading"/>
    <w:basedOn w:val="TableauNormal"/>
    <w:uiPriority w:val="60"/>
    <w:rsid w:val="00C64845"/>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numpdp">
    <w:name w:val="num_pdp"/>
    <w:basedOn w:val="Normal"/>
    <w:rsid w:val="00CD5034"/>
    <w:pPr>
      <w:tabs>
        <w:tab w:val="center" w:pos="4536"/>
        <w:tab w:val="right" w:pos="9072"/>
      </w:tabs>
      <w:spacing w:before="460" w:after="0"/>
      <w:ind w:left="743"/>
    </w:pPr>
    <w:rPr>
      <w:b/>
      <w:noProof/>
      <w:sz w:val="20"/>
      <w:szCs w:val="20"/>
      <w:lang w:eastAsia="fr-FR"/>
    </w:rPr>
  </w:style>
  <w:style w:type="character" w:customStyle="1" w:styleId="pdp">
    <w:name w:val="pdp"/>
    <w:uiPriority w:val="1"/>
    <w:rsid w:val="00CD5034"/>
    <w:rPr>
      <w:b w:val="0"/>
      <w:sz w:val="16"/>
    </w:rPr>
  </w:style>
  <w:style w:type="paragraph" w:customStyle="1" w:styleId="Puce3">
    <w:name w:val="Puce_3"/>
    <w:next w:val="Normal"/>
    <w:qFormat/>
    <w:rsid w:val="000037EF"/>
    <w:pPr>
      <w:numPr>
        <w:numId w:val="16"/>
      </w:numPr>
      <w:spacing w:before="240" w:after="144"/>
    </w:pPr>
    <w:rPr>
      <w:rFonts w:ascii="Arial" w:hAnsi="Arial"/>
      <w:sz w:val="22"/>
      <w:szCs w:val="22"/>
      <w:lang w:eastAsia="en-US"/>
    </w:rPr>
  </w:style>
  <w:style w:type="paragraph" w:customStyle="1" w:styleId="Suitepuce3">
    <w:name w:val="Suite_puce_3"/>
    <w:rsid w:val="00C122F1"/>
    <w:pPr>
      <w:spacing w:before="60" w:after="40"/>
      <w:ind w:left="1418"/>
    </w:pPr>
    <w:rPr>
      <w:rFonts w:ascii="Arial" w:hAnsi="Arial"/>
      <w:sz w:val="22"/>
      <w:szCs w:val="22"/>
      <w:lang w:eastAsia="en-US"/>
    </w:rPr>
  </w:style>
  <w:style w:type="paragraph" w:customStyle="1" w:styleId="nota">
    <w:name w:val="nota"/>
    <w:basedOn w:val="Normal"/>
    <w:next w:val="Normal"/>
    <w:rsid w:val="00D51761"/>
    <w:pPr>
      <w:ind w:left="993"/>
    </w:pPr>
    <w:rPr>
      <w:i/>
      <w:sz w:val="20"/>
      <w:szCs w:val="20"/>
    </w:rPr>
  </w:style>
  <w:style w:type="paragraph" w:styleId="Paragraphedeliste">
    <w:name w:val="List Paragraph"/>
    <w:basedOn w:val="Normal"/>
    <w:uiPriority w:val="34"/>
    <w:qFormat/>
    <w:rsid w:val="00233822"/>
    <w:pPr>
      <w:spacing w:before="0" w:after="200" w:line="276" w:lineRule="auto"/>
      <w:ind w:left="720"/>
      <w:contextualSpacing/>
    </w:pPr>
    <w:rPr>
      <w:rFonts w:ascii="Calibri" w:hAnsi="Calibri"/>
    </w:rPr>
  </w:style>
  <w:style w:type="paragraph" w:customStyle="1" w:styleId="CodeSources0">
    <w:name w:val="Code_Sources"/>
    <w:basedOn w:val="Normal"/>
    <w:link w:val="CodeSourcesCar"/>
    <w:rsid w:val="00687A00"/>
    <w:pPr>
      <w:tabs>
        <w:tab w:val="left" w:pos="1134"/>
        <w:tab w:val="left" w:pos="1418"/>
        <w:tab w:val="left" w:pos="1701"/>
        <w:tab w:val="left" w:pos="1985"/>
        <w:tab w:val="left" w:pos="2268"/>
        <w:tab w:val="left" w:pos="2552"/>
        <w:tab w:val="left" w:pos="2835"/>
      </w:tabs>
      <w:spacing w:before="60" w:after="0"/>
      <w:ind w:left="794" w:right="992"/>
    </w:pPr>
    <w:rPr>
      <w:rFonts w:ascii="Courier New" w:eastAsia="Times New Roman" w:hAnsi="Courier New" w:cs="Courier New"/>
      <w:sz w:val="16"/>
      <w:szCs w:val="20"/>
      <w:lang w:eastAsia="fr-FR"/>
    </w:rPr>
  </w:style>
  <w:style w:type="character" w:customStyle="1" w:styleId="CodeSourcesCar">
    <w:name w:val="Code_Sources Car"/>
    <w:link w:val="CodeSources0"/>
    <w:rsid w:val="00687A00"/>
    <w:rPr>
      <w:rFonts w:ascii="Courier New" w:eastAsia="Times New Roman" w:hAnsi="Courier New" w:cs="Courier New"/>
      <w:sz w:val="16"/>
    </w:rPr>
  </w:style>
  <w:style w:type="table" w:styleId="Listeclaire-Accent2">
    <w:name w:val="Light List Accent 2"/>
    <w:basedOn w:val="TableauNormal"/>
    <w:uiPriority w:val="61"/>
    <w:rsid w:val="00216A24"/>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steclaire-Accent3">
    <w:name w:val="Light List Accent 3"/>
    <w:basedOn w:val="TableauNormal"/>
    <w:uiPriority w:val="61"/>
    <w:rsid w:val="00216A24"/>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steclaire-Accent1">
    <w:name w:val="Light List Accent 1"/>
    <w:basedOn w:val="TableauNormal"/>
    <w:uiPriority w:val="61"/>
    <w:rsid w:val="009652BA"/>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paragraph" w:styleId="Corpsdetexte2">
    <w:name w:val="Body Text 2"/>
    <w:basedOn w:val="Normal"/>
    <w:link w:val="Corpsdetexte2Car"/>
    <w:rsid w:val="00EE0D3E"/>
    <w:pPr>
      <w:spacing w:before="0" w:after="0"/>
      <w:ind w:left="0"/>
    </w:pPr>
    <w:rPr>
      <w:rFonts w:eastAsia="Times New Roman"/>
      <w:b/>
      <w:sz w:val="20"/>
      <w:szCs w:val="20"/>
      <w:lang w:eastAsia="fr-FR"/>
    </w:rPr>
  </w:style>
  <w:style w:type="character" w:customStyle="1" w:styleId="Corpsdetexte2Car">
    <w:name w:val="Corps de texte 2 Car"/>
    <w:basedOn w:val="Policepardfaut"/>
    <w:link w:val="Corpsdetexte2"/>
    <w:rsid w:val="00EE0D3E"/>
    <w:rPr>
      <w:rFonts w:ascii="Arial" w:eastAsia="Times New Roman" w:hAnsi="Arial"/>
      <w:b/>
    </w:rPr>
  </w:style>
  <w:style w:type="character" w:customStyle="1" w:styleId="Titre7Car">
    <w:name w:val="Titre 7 Car"/>
    <w:basedOn w:val="Policepardfaut"/>
    <w:link w:val="Titre7"/>
    <w:uiPriority w:val="9"/>
    <w:semiHidden/>
    <w:rsid w:val="008C755B"/>
    <w:rPr>
      <w:rFonts w:asciiTheme="majorHAnsi" w:eastAsiaTheme="majorEastAsia" w:hAnsiTheme="majorHAnsi" w:cstheme="majorBidi"/>
      <w:i/>
      <w:iCs/>
      <w:color w:val="1F4D78" w:themeColor="accent1" w:themeShade="7F"/>
      <w:sz w:val="22"/>
      <w:szCs w:val="22"/>
      <w:lang w:eastAsia="en-US"/>
    </w:rPr>
  </w:style>
  <w:style w:type="paragraph" w:styleId="Retraitcorpsdetexte">
    <w:name w:val="Body Text Indent"/>
    <w:basedOn w:val="Normal"/>
    <w:link w:val="RetraitcorpsdetexteCar"/>
    <w:uiPriority w:val="99"/>
    <w:semiHidden/>
    <w:unhideWhenUsed/>
    <w:rsid w:val="008C755B"/>
    <w:pPr>
      <w:spacing w:after="120"/>
      <w:ind w:left="283"/>
    </w:pPr>
  </w:style>
  <w:style w:type="character" w:customStyle="1" w:styleId="RetraitcorpsdetexteCar">
    <w:name w:val="Retrait corps de texte Car"/>
    <w:basedOn w:val="Policepardfaut"/>
    <w:link w:val="Retraitcorpsdetexte"/>
    <w:uiPriority w:val="99"/>
    <w:semiHidden/>
    <w:rsid w:val="008C755B"/>
    <w:rPr>
      <w:rFonts w:ascii="Arial" w:hAnsi="Arial"/>
      <w:sz w:val="22"/>
      <w:szCs w:val="22"/>
      <w:lang w:eastAsia="en-US"/>
    </w:rPr>
  </w:style>
  <w:style w:type="paragraph" w:customStyle="1" w:styleId="Titreencadr">
    <w:name w:val="Titre_encadré"/>
    <w:basedOn w:val="Normal"/>
    <w:rsid w:val="008C755B"/>
    <w:pPr>
      <w:keepNext/>
      <w:keepLines/>
      <w:numPr>
        <w:ilvl w:val="1"/>
        <w:numId w:val="8"/>
      </w:numPr>
      <w:tabs>
        <w:tab w:val="left" w:pos="357"/>
      </w:tabs>
      <w:spacing w:before="60"/>
      <w:ind w:left="1247"/>
    </w:pPr>
    <w:rPr>
      <w:rFonts w:eastAsia="Times New Roman"/>
      <w:b/>
      <w:szCs w:val="20"/>
      <w:lang w:eastAsia="fr-FR"/>
    </w:rPr>
  </w:style>
  <w:style w:type="table" w:styleId="TableauGrille1Clair-Accentuation5">
    <w:name w:val="Grid Table 1 Light Accent 5"/>
    <w:basedOn w:val="TableauNormal"/>
    <w:uiPriority w:val="46"/>
    <w:rsid w:val="0060071D"/>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TableauGrille4-Accentuation6">
    <w:name w:val="Grid Table 4 Accent 6"/>
    <w:basedOn w:val="TableauNormal"/>
    <w:uiPriority w:val="49"/>
    <w:rsid w:val="008B0E7A"/>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eauListe3-Accentuation6">
    <w:name w:val="List Table 3 Accent 6"/>
    <w:basedOn w:val="TableauNormal"/>
    <w:uiPriority w:val="48"/>
    <w:rsid w:val="008B0E7A"/>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TableauListe3-Accentuation5">
    <w:name w:val="List Table 3 Accent 5"/>
    <w:basedOn w:val="TableauNormal"/>
    <w:uiPriority w:val="48"/>
    <w:rsid w:val="00F07405"/>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TableauListe3-Accentuation3">
    <w:name w:val="List Table 3 Accent 3"/>
    <w:basedOn w:val="TableauNormal"/>
    <w:uiPriority w:val="48"/>
    <w:rsid w:val="00F07405"/>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TableauListe3">
    <w:name w:val="List Table 3"/>
    <w:basedOn w:val="TableauNormal"/>
    <w:uiPriority w:val="48"/>
    <w:rsid w:val="006D0F1C"/>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TableauListe3-Accentuation4">
    <w:name w:val="List Table 3 Accent 4"/>
    <w:basedOn w:val="TableauNormal"/>
    <w:uiPriority w:val="48"/>
    <w:rsid w:val="00DA2965"/>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table" w:styleId="TableauGrille4-Accentuation5">
    <w:name w:val="Grid Table 4 Accent 5"/>
    <w:basedOn w:val="TableauNormal"/>
    <w:uiPriority w:val="49"/>
    <w:rsid w:val="000419E9"/>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eauGrille6Couleur-Accentuation5">
    <w:name w:val="Grid Table 6 Colorful Accent 5"/>
    <w:basedOn w:val="TableauNormal"/>
    <w:uiPriority w:val="51"/>
    <w:rsid w:val="000419E9"/>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4" w:space="0" w:color="8EAADB" w:themeColor="accent5" w:themeTint="99"/>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eauGrille7Couleur-Accentuation5">
    <w:name w:val="Grid Table 7 Colorful Accent 5"/>
    <w:basedOn w:val="TableauNormal"/>
    <w:uiPriority w:val="52"/>
    <w:rsid w:val="000419E9"/>
    <w:rPr>
      <w:color w:val="2F5496" w:themeColor="accent5" w:themeShade="BF"/>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TableauGrille2-Accentuation5">
    <w:name w:val="Grid Table 2 Accent 5"/>
    <w:basedOn w:val="TableauNormal"/>
    <w:uiPriority w:val="47"/>
    <w:rsid w:val="000419E9"/>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TableauListe6Couleur-Accentuation5">
    <w:name w:val="List Table 6 Colorful Accent 5"/>
    <w:basedOn w:val="TableauNormal"/>
    <w:uiPriority w:val="51"/>
    <w:rsid w:val="000419E9"/>
    <w:rPr>
      <w:color w:val="2F5496" w:themeColor="accent5" w:themeShade="BF"/>
    </w:rPr>
    <w:tblPr>
      <w:tblStyleRowBandSize w:val="1"/>
      <w:tblStyleColBandSize w:val="1"/>
      <w:tblBorders>
        <w:top w:val="single" w:sz="4" w:space="0" w:color="4472C4" w:themeColor="accent5"/>
        <w:bottom w:val="single" w:sz="4" w:space="0" w:color="4472C4" w:themeColor="accent5"/>
      </w:tblBorders>
    </w:tblPr>
    <w:tblStylePr w:type="firstRow">
      <w:rPr>
        <w:b/>
        <w:bCs/>
      </w:rPr>
      <w:tblPr/>
      <w:tcPr>
        <w:tcBorders>
          <w:bottom w:val="single" w:sz="4" w:space="0" w:color="4472C4" w:themeColor="accent5"/>
        </w:tcBorders>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Corpsdetexte">
    <w:name w:val="Body Text"/>
    <w:basedOn w:val="Normal"/>
    <w:link w:val="CorpsdetexteCar"/>
    <w:uiPriority w:val="99"/>
    <w:unhideWhenUsed/>
    <w:rsid w:val="00F51ADB"/>
    <w:pPr>
      <w:spacing w:after="120"/>
    </w:pPr>
  </w:style>
  <w:style w:type="character" w:customStyle="1" w:styleId="CorpsdetexteCar">
    <w:name w:val="Corps de texte Car"/>
    <w:basedOn w:val="Policepardfaut"/>
    <w:link w:val="Corpsdetexte"/>
    <w:uiPriority w:val="99"/>
    <w:rsid w:val="00F51ADB"/>
    <w:rPr>
      <w:rFonts w:ascii="Arial" w:hAnsi="Arial"/>
      <w:sz w:val="22"/>
      <w:szCs w:val="22"/>
      <w:lang w:eastAsia="en-US"/>
    </w:rPr>
  </w:style>
  <w:style w:type="paragraph" w:styleId="Notedebasdepage">
    <w:name w:val="footnote text"/>
    <w:basedOn w:val="Normal"/>
    <w:link w:val="NotedebasdepageCar"/>
    <w:uiPriority w:val="99"/>
    <w:unhideWhenUsed/>
    <w:rsid w:val="008A2671"/>
    <w:pPr>
      <w:spacing w:before="0" w:after="0"/>
    </w:pPr>
    <w:rPr>
      <w:sz w:val="20"/>
      <w:szCs w:val="20"/>
    </w:rPr>
  </w:style>
  <w:style w:type="character" w:customStyle="1" w:styleId="NotedebasdepageCar">
    <w:name w:val="Note de bas de page Car"/>
    <w:basedOn w:val="Policepardfaut"/>
    <w:link w:val="Notedebasdepage"/>
    <w:uiPriority w:val="99"/>
    <w:rsid w:val="008A2671"/>
    <w:rPr>
      <w:rFonts w:ascii="Arial" w:hAnsi="Arial"/>
      <w:lang w:eastAsia="en-US"/>
    </w:rPr>
  </w:style>
  <w:style w:type="character" w:styleId="Appelnotedebasdep">
    <w:name w:val="footnote reference"/>
    <w:basedOn w:val="Policepardfaut"/>
    <w:uiPriority w:val="99"/>
    <w:semiHidden/>
    <w:unhideWhenUsed/>
    <w:rsid w:val="008A2671"/>
    <w:rPr>
      <w:vertAlign w:val="superscript"/>
    </w:rPr>
  </w:style>
  <w:style w:type="paragraph" w:styleId="NormalWeb">
    <w:name w:val="Normal (Web)"/>
    <w:basedOn w:val="Normal"/>
    <w:uiPriority w:val="99"/>
    <w:rsid w:val="006A0464"/>
    <w:pPr>
      <w:spacing w:beforeAutospacing="1" w:after="100" w:afterAutospacing="1"/>
      <w:ind w:left="0"/>
    </w:pPr>
    <w:rPr>
      <w:rFonts w:ascii="Times New Roman" w:eastAsia="Times New Roman" w:hAnsi="Times New Roman"/>
      <w:sz w:val="24"/>
      <w:szCs w:val="24"/>
      <w:lang w:eastAsia="fr-FR"/>
    </w:rPr>
  </w:style>
  <w:style w:type="table" w:customStyle="1" w:styleId="TableauListe3-Accentuation61">
    <w:name w:val="Tableau Liste 3 - Accentuation 61"/>
    <w:basedOn w:val="TableauNormal"/>
    <w:uiPriority w:val="48"/>
    <w:rsid w:val="006A72A7"/>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customStyle="1" w:styleId="TableauListe3-Accentuation31">
    <w:name w:val="Tableau Liste 3 - Accentuation 31"/>
    <w:basedOn w:val="TableauNormal"/>
    <w:uiPriority w:val="48"/>
    <w:rsid w:val="006A72A7"/>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customStyle="1" w:styleId="TableauListe31">
    <w:name w:val="Tableau Liste 31"/>
    <w:basedOn w:val="TableauNormal"/>
    <w:uiPriority w:val="48"/>
    <w:rsid w:val="006A72A7"/>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TableauListe3-Accentuation41">
    <w:name w:val="Tableau Liste 3 - Accentuation 41"/>
    <w:basedOn w:val="TableauNormal"/>
    <w:uiPriority w:val="48"/>
    <w:rsid w:val="006A72A7"/>
    <w:tblPr>
      <w:tblStyleRowBandSize w:val="1"/>
      <w:tblStyleColBandSize w:val="1"/>
      <w:tblBorders>
        <w:top w:val="single" w:sz="4" w:space="0" w:color="FFC000" w:themeColor="accent4"/>
        <w:left w:val="single" w:sz="4" w:space="0" w:color="FFC000" w:themeColor="accent4"/>
        <w:bottom w:val="single" w:sz="4" w:space="0" w:color="FFC000" w:themeColor="accent4"/>
        <w:right w:val="single" w:sz="4" w:space="0" w:color="FFC000" w:themeColor="accent4"/>
      </w:tblBorders>
    </w:tblPr>
    <w:tblStylePr w:type="firstRow">
      <w:rPr>
        <w:b/>
        <w:bCs/>
        <w:color w:val="FFFFFF" w:themeColor="background1"/>
      </w:rPr>
      <w:tblPr/>
      <w:tcPr>
        <w:shd w:val="clear" w:color="auto" w:fill="FFC000" w:themeFill="accent4"/>
      </w:tcPr>
    </w:tblStylePr>
    <w:tblStylePr w:type="lastRow">
      <w:rPr>
        <w:b/>
        <w:bCs/>
      </w:rPr>
      <w:tblPr/>
      <w:tcPr>
        <w:tcBorders>
          <w:top w:val="double" w:sz="4" w:space="0" w:color="FFC00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C000" w:themeColor="accent4"/>
          <w:right w:val="single" w:sz="4" w:space="0" w:color="FFC000" w:themeColor="accent4"/>
        </w:tcBorders>
      </w:tcPr>
    </w:tblStylePr>
    <w:tblStylePr w:type="band1Horz">
      <w:tblPr/>
      <w:tcPr>
        <w:tcBorders>
          <w:top w:val="single" w:sz="4" w:space="0" w:color="FFC000" w:themeColor="accent4"/>
          <w:bottom w:val="single" w:sz="4" w:space="0" w:color="FFC00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C000" w:themeColor="accent4"/>
          <w:left w:val="nil"/>
        </w:tcBorders>
      </w:tcPr>
    </w:tblStylePr>
    <w:tblStylePr w:type="swCell">
      <w:tblPr/>
      <w:tcPr>
        <w:tcBorders>
          <w:top w:val="double" w:sz="4" w:space="0" w:color="FFC000" w:themeColor="accent4"/>
          <w:right w:val="nil"/>
        </w:tcBorders>
      </w:tcPr>
    </w:tblStylePr>
  </w:style>
  <w:style w:type="paragraph" w:customStyle="1" w:styleId="Inseenormal">
    <w:name w:val="Insee_normal"/>
    <w:rsid w:val="00D96BC7"/>
    <w:pPr>
      <w:tabs>
        <w:tab w:val="left" w:pos="470"/>
        <w:tab w:val="left" w:pos="567"/>
        <w:tab w:val="left" w:pos="1080"/>
        <w:tab w:val="num" w:pos="1440"/>
        <w:tab w:val="left" w:leader="dot" w:pos="8959"/>
        <w:tab w:val="left" w:pos="9356"/>
      </w:tabs>
    </w:pPr>
    <w:rPr>
      <w:rFonts w:ascii="Arial" w:eastAsia="Times New Roman" w:hAnsi="Arial" w:cs="Arial"/>
      <w:szCs w:val="18"/>
    </w:rPr>
  </w:style>
  <w:style w:type="paragraph" w:customStyle="1" w:styleId="Puce1">
    <w:name w:val="Puce 1"/>
    <w:basedOn w:val="Normal"/>
    <w:rsid w:val="001E59D6"/>
    <w:pPr>
      <w:numPr>
        <w:numId w:val="9"/>
      </w:numPr>
      <w:tabs>
        <w:tab w:val="clear" w:pos="360"/>
        <w:tab w:val="left" w:pos="170"/>
      </w:tabs>
      <w:spacing w:before="60" w:after="20"/>
      <w:ind w:left="1191" w:right="992"/>
    </w:pPr>
    <w:rPr>
      <w:rFonts w:eastAsia="Times New Roman"/>
      <w:sz w:val="20"/>
      <w:szCs w:val="20"/>
      <w:lang w:eastAsia="fr-FR"/>
    </w:rPr>
  </w:style>
  <w:style w:type="paragraph" w:customStyle="1" w:styleId="Puce1b">
    <w:name w:val="Puce_1b"/>
    <w:basedOn w:val="Puce10"/>
    <w:link w:val="Puce1bCar"/>
    <w:qFormat/>
    <w:rsid w:val="001E59D6"/>
    <w:pPr>
      <w:numPr>
        <w:numId w:val="10"/>
      </w:numPr>
    </w:pPr>
    <w:rPr>
      <w:i w:val="0"/>
    </w:rPr>
  </w:style>
  <w:style w:type="character" w:customStyle="1" w:styleId="Puce1bCar">
    <w:name w:val="Puce_1b Car"/>
    <w:basedOn w:val="Policepardfaut"/>
    <w:link w:val="Puce1b"/>
    <w:rsid w:val="001E59D6"/>
    <w:rPr>
      <w:rFonts w:ascii="Arial" w:hAnsi="Arial"/>
      <w:b/>
      <w:sz w:val="24"/>
      <w:szCs w:val="24"/>
      <w:lang w:eastAsia="en-US"/>
    </w:rPr>
  </w:style>
  <w:style w:type="table" w:styleId="TableauGrille5Fonc-Accentuation1">
    <w:name w:val="Grid Table 5 Dark Accent 1"/>
    <w:basedOn w:val="TableauNormal"/>
    <w:uiPriority w:val="50"/>
    <w:rsid w:val="003E4F29"/>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customStyle="1" w:styleId="centerpar">
    <w:name w:val="centerpar"/>
    <w:basedOn w:val="Normal"/>
    <w:uiPriority w:val="99"/>
    <w:rsid w:val="0092425F"/>
    <w:pPr>
      <w:keepLines/>
      <w:autoSpaceDE w:val="0"/>
      <w:autoSpaceDN w:val="0"/>
      <w:adjustRightInd w:val="0"/>
      <w:spacing w:before="120" w:after="120"/>
      <w:ind w:left="0"/>
      <w:jc w:val="center"/>
    </w:pPr>
    <w:rPr>
      <w:rFonts w:ascii="Times New Roman" w:eastAsiaTheme="minorEastAsia" w:hAnsi="Times New Roman"/>
      <w:noProof/>
      <w:sz w:val="24"/>
      <w:szCs w:val="24"/>
      <w:lang w:eastAsia="fr-FR"/>
    </w:rPr>
  </w:style>
  <w:style w:type="paragraph" w:customStyle="1" w:styleId="equationNum">
    <w:name w:val="equationNum"/>
    <w:basedOn w:val="Normal"/>
    <w:next w:val="Normal"/>
    <w:uiPriority w:val="99"/>
    <w:rsid w:val="0092425F"/>
    <w:pPr>
      <w:keepLines/>
      <w:autoSpaceDE w:val="0"/>
      <w:autoSpaceDN w:val="0"/>
      <w:adjustRightInd w:val="0"/>
      <w:spacing w:before="120" w:after="120"/>
      <w:ind w:left="0"/>
    </w:pPr>
    <w:rPr>
      <w:rFonts w:ascii="Times New Roman" w:eastAsiaTheme="minorEastAsia" w:hAnsi="Times New Roman"/>
      <w:noProof/>
      <w:sz w:val="24"/>
      <w:szCs w:val="24"/>
      <w:lang w:eastAsia="fr-FR"/>
    </w:rPr>
  </w:style>
  <w:style w:type="paragraph" w:customStyle="1" w:styleId="OUProcess">
    <w:name w:val="OU_Process"/>
    <w:basedOn w:val="Normal"/>
    <w:link w:val="OUProcessCar"/>
    <w:qFormat/>
    <w:rsid w:val="0092425F"/>
    <w:pPr>
      <w:spacing w:before="0" w:after="160" w:line="259" w:lineRule="auto"/>
      <w:ind w:left="0"/>
    </w:pPr>
    <w:rPr>
      <w:rFonts w:ascii="Cambria Math" w:eastAsiaTheme="minorEastAsia" w:hAnsi="Cambria Math" w:cstheme="minorBidi"/>
      <w:sz w:val="36"/>
      <w:szCs w:val="24"/>
    </w:rPr>
  </w:style>
  <w:style w:type="character" w:customStyle="1" w:styleId="OUProcessCar">
    <w:name w:val="OU_Process Car"/>
    <w:basedOn w:val="Policepardfaut"/>
    <w:link w:val="OUProcess"/>
    <w:rsid w:val="0092425F"/>
    <w:rPr>
      <w:rFonts w:ascii="Cambria Math" w:eastAsiaTheme="minorEastAsia" w:hAnsi="Cambria Math" w:cstheme="minorBidi"/>
      <w:sz w:val="36"/>
      <w:szCs w:val="24"/>
      <w:lang w:eastAsia="en-US"/>
    </w:rPr>
  </w:style>
  <w:style w:type="character" w:customStyle="1" w:styleId="st">
    <w:name w:val="st"/>
    <w:basedOn w:val="Policepardfaut"/>
    <w:rsid w:val="007E4B01"/>
  </w:style>
  <w:style w:type="paragraph" w:styleId="Rvision">
    <w:name w:val="Revision"/>
    <w:hidden/>
    <w:uiPriority w:val="99"/>
    <w:semiHidden/>
    <w:rsid w:val="000504DA"/>
    <w:rPr>
      <w:rFonts w:ascii="Arial" w:hAnsi="Arial"/>
      <w:sz w:val="22"/>
      <w:szCs w:val="22"/>
      <w:lang w:eastAsia="en-US"/>
    </w:rPr>
  </w:style>
  <w:style w:type="character" w:styleId="Textedelespacerserv">
    <w:name w:val="Placeholder Text"/>
    <w:basedOn w:val="Policepardfaut"/>
    <w:uiPriority w:val="99"/>
    <w:semiHidden/>
    <w:rsid w:val="001B5EE1"/>
    <w:rPr>
      <w:color w:val="808080"/>
    </w:rPr>
  </w:style>
  <w:style w:type="character" w:customStyle="1" w:styleId="mixed-citation">
    <w:name w:val="mixed-citation"/>
    <w:basedOn w:val="Policepardfaut"/>
    <w:rsid w:val="00726325"/>
  </w:style>
  <w:style w:type="paragraph" w:styleId="Lgende">
    <w:name w:val="caption"/>
    <w:basedOn w:val="Normal"/>
    <w:next w:val="Normal"/>
    <w:uiPriority w:val="35"/>
    <w:unhideWhenUsed/>
    <w:qFormat/>
    <w:rsid w:val="00C146CD"/>
    <w:pPr>
      <w:spacing w:beforeLines="0" w:before="0" w:afterLines="0" w:after="200" w:line="240" w:lineRule="auto"/>
      <w:ind w:left="0" w:right="0"/>
      <w:jc w:val="left"/>
    </w:pPr>
    <w:rPr>
      <w:rFonts w:ascii="Calibri" w:hAnsi="Calibri"/>
      <w:b/>
      <w:bCs/>
      <w:color w:val="5B9BD5" w:themeColor="accent1"/>
      <w:sz w:val="18"/>
      <w:szCs w:val="18"/>
    </w:rPr>
  </w:style>
  <w:style w:type="character" w:customStyle="1" w:styleId="documentpagerange">
    <w:name w:val="documentpagerange"/>
    <w:basedOn w:val="Policepardfaut"/>
    <w:rsid w:val="001C6FE1"/>
  </w:style>
  <w:style w:type="character" w:styleId="Accentuation">
    <w:name w:val="Emphasis"/>
    <w:basedOn w:val="Policepardfaut"/>
    <w:uiPriority w:val="20"/>
    <w:qFormat/>
    <w:rsid w:val="00E81A13"/>
    <w:rPr>
      <w:i/>
      <w:iCs/>
    </w:rPr>
  </w:style>
  <w:style w:type="character" w:customStyle="1" w:styleId="tlid-translation">
    <w:name w:val="tlid-translation"/>
    <w:basedOn w:val="Policepardfaut"/>
    <w:rsid w:val="00DC131B"/>
  </w:style>
  <w:style w:type="character" w:customStyle="1" w:styleId="highlight">
    <w:name w:val="highlight"/>
    <w:basedOn w:val="Policepardfaut"/>
    <w:rsid w:val="00CA0BD5"/>
  </w:style>
  <w:style w:type="character" w:styleId="Marquedecommentaire">
    <w:name w:val="annotation reference"/>
    <w:basedOn w:val="Policepardfaut"/>
    <w:uiPriority w:val="99"/>
    <w:semiHidden/>
    <w:unhideWhenUsed/>
    <w:rsid w:val="006808C5"/>
    <w:rPr>
      <w:sz w:val="16"/>
      <w:szCs w:val="16"/>
    </w:rPr>
  </w:style>
  <w:style w:type="paragraph" w:styleId="Commentaire">
    <w:name w:val="annotation text"/>
    <w:basedOn w:val="Normal"/>
    <w:link w:val="CommentaireCar"/>
    <w:uiPriority w:val="99"/>
    <w:semiHidden/>
    <w:unhideWhenUsed/>
    <w:rsid w:val="006808C5"/>
    <w:pPr>
      <w:spacing w:line="240" w:lineRule="auto"/>
    </w:pPr>
    <w:rPr>
      <w:sz w:val="20"/>
      <w:szCs w:val="20"/>
    </w:rPr>
  </w:style>
  <w:style w:type="character" w:customStyle="1" w:styleId="CommentaireCar">
    <w:name w:val="Commentaire Car"/>
    <w:basedOn w:val="Policepardfaut"/>
    <w:link w:val="Commentaire"/>
    <w:uiPriority w:val="99"/>
    <w:semiHidden/>
    <w:rsid w:val="006808C5"/>
    <w:rPr>
      <w:rFonts w:ascii="Arial" w:hAnsi="Arial"/>
      <w:lang w:eastAsia="en-US"/>
    </w:rPr>
  </w:style>
  <w:style w:type="paragraph" w:styleId="Objetducommentaire">
    <w:name w:val="annotation subject"/>
    <w:basedOn w:val="Commentaire"/>
    <w:next w:val="Commentaire"/>
    <w:link w:val="ObjetducommentaireCar"/>
    <w:uiPriority w:val="99"/>
    <w:semiHidden/>
    <w:unhideWhenUsed/>
    <w:rsid w:val="006808C5"/>
    <w:rPr>
      <w:b/>
      <w:bCs/>
    </w:rPr>
  </w:style>
  <w:style w:type="character" w:customStyle="1" w:styleId="ObjetducommentaireCar">
    <w:name w:val="Objet du commentaire Car"/>
    <w:basedOn w:val="CommentaireCar"/>
    <w:link w:val="Objetducommentaire"/>
    <w:uiPriority w:val="99"/>
    <w:semiHidden/>
    <w:rsid w:val="006808C5"/>
    <w:rPr>
      <w:rFonts w:ascii="Arial"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174736">
      <w:bodyDiv w:val="1"/>
      <w:marLeft w:val="0"/>
      <w:marRight w:val="0"/>
      <w:marTop w:val="0"/>
      <w:marBottom w:val="0"/>
      <w:divBdr>
        <w:top w:val="none" w:sz="0" w:space="0" w:color="auto"/>
        <w:left w:val="none" w:sz="0" w:space="0" w:color="auto"/>
        <w:bottom w:val="none" w:sz="0" w:space="0" w:color="auto"/>
        <w:right w:val="none" w:sz="0" w:space="0" w:color="auto"/>
      </w:divBdr>
    </w:div>
    <w:div w:id="181822359">
      <w:bodyDiv w:val="1"/>
      <w:marLeft w:val="0"/>
      <w:marRight w:val="0"/>
      <w:marTop w:val="0"/>
      <w:marBottom w:val="0"/>
      <w:divBdr>
        <w:top w:val="none" w:sz="0" w:space="0" w:color="auto"/>
        <w:left w:val="none" w:sz="0" w:space="0" w:color="auto"/>
        <w:bottom w:val="none" w:sz="0" w:space="0" w:color="auto"/>
        <w:right w:val="none" w:sz="0" w:space="0" w:color="auto"/>
      </w:divBdr>
    </w:div>
    <w:div w:id="192883093">
      <w:bodyDiv w:val="1"/>
      <w:marLeft w:val="0"/>
      <w:marRight w:val="0"/>
      <w:marTop w:val="0"/>
      <w:marBottom w:val="0"/>
      <w:divBdr>
        <w:top w:val="none" w:sz="0" w:space="0" w:color="auto"/>
        <w:left w:val="none" w:sz="0" w:space="0" w:color="auto"/>
        <w:bottom w:val="none" w:sz="0" w:space="0" w:color="auto"/>
        <w:right w:val="none" w:sz="0" w:space="0" w:color="auto"/>
      </w:divBdr>
    </w:div>
    <w:div w:id="274600780">
      <w:bodyDiv w:val="1"/>
      <w:marLeft w:val="0"/>
      <w:marRight w:val="0"/>
      <w:marTop w:val="0"/>
      <w:marBottom w:val="0"/>
      <w:divBdr>
        <w:top w:val="none" w:sz="0" w:space="0" w:color="auto"/>
        <w:left w:val="none" w:sz="0" w:space="0" w:color="auto"/>
        <w:bottom w:val="none" w:sz="0" w:space="0" w:color="auto"/>
        <w:right w:val="none" w:sz="0" w:space="0" w:color="auto"/>
      </w:divBdr>
    </w:div>
    <w:div w:id="345442471">
      <w:bodyDiv w:val="1"/>
      <w:marLeft w:val="0"/>
      <w:marRight w:val="0"/>
      <w:marTop w:val="0"/>
      <w:marBottom w:val="0"/>
      <w:divBdr>
        <w:top w:val="none" w:sz="0" w:space="0" w:color="auto"/>
        <w:left w:val="none" w:sz="0" w:space="0" w:color="auto"/>
        <w:bottom w:val="none" w:sz="0" w:space="0" w:color="auto"/>
        <w:right w:val="none" w:sz="0" w:space="0" w:color="auto"/>
      </w:divBdr>
    </w:div>
    <w:div w:id="356544230">
      <w:bodyDiv w:val="1"/>
      <w:marLeft w:val="0"/>
      <w:marRight w:val="0"/>
      <w:marTop w:val="0"/>
      <w:marBottom w:val="0"/>
      <w:divBdr>
        <w:top w:val="none" w:sz="0" w:space="0" w:color="auto"/>
        <w:left w:val="none" w:sz="0" w:space="0" w:color="auto"/>
        <w:bottom w:val="none" w:sz="0" w:space="0" w:color="auto"/>
        <w:right w:val="none" w:sz="0" w:space="0" w:color="auto"/>
      </w:divBdr>
    </w:div>
    <w:div w:id="405804527">
      <w:bodyDiv w:val="1"/>
      <w:marLeft w:val="0"/>
      <w:marRight w:val="0"/>
      <w:marTop w:val="0"/>
      <w:marBottom w:val="0"/>
      <w:divBdr>
        <w:top w:val="none" w:sz="0" w:space="0" w:color="auto"/>
        <w:left w:val="none" w:sz="0" w:space="0" w:color="auto"/>
        <w:bottom w:val="none" w:sz="0" w:space="0" w:color="auto"/>
        <w:right w:val="none" w:sz="0" w:space="0" w:color="auto"/>
      </w:divBdr>
    </w:div>
    <w:div w:id="418673506">
      <w:bodyDiv w:val="1"/>
      <w:marLeft w:val="0"/>
      <w:marRight w:val="0"/>
      <w:marTop w:val="0"/>
      <w:marBottom w:val="0"/>
      <w:divBdr>
        <w:top w:val="none" w:sz="0" w:space="0" w:color="auto"/>
        <w:left w:val="none" w:sz="0" w:space="0" w:color="auto"/>
        <w:bottom w:val="none" w:sz="0" w:space="0" w:color="auto"/>
        <w:right w:val="none" w:sz="0" w:space="0" w:color="auto"/>
      </w:divBdr>
    </w:div>
    <w:div w:id="452285252">
      <w:bodyDiv w:val="1"/>
      <w:marLeft w:val="0"/>
      <w:marRight w:val="0"/>
      <w:marTop w:val="0"/>
      <w:marBottom w:val="0"/>
      <w:divBdr>
        <w:top w:val="none" w:sz="0" w:space="0" w:color="auto"/>
        <w:left w:val="none" w:sz="0" w:space="0" w:color="auto"/>
        <w:bottom w:val="none" w:sz="0" w:space="0" w:color="auto"/>
        <w:right w:val="none" w:sz="0" w:space="0" w:color="auto"/>
      </w:divBdr>
    </w:div>
    <w:div w:id="538279853">
      <w:bodyDiv w:val="1"/>
      <w:marLeft w:val="0"/>
      <w:marRight w:val="0"/>
      <w:marTop w:val="0"/>
      <w:marBottom w:val="0"/>
      <w:divBdr>
        <w:top w:val="none" w:sz="0" w:space="0" w:color="auto"/>
        <w:left w:val="none" w:sz="0" w:space="0" w:color="auto"/>
        <w:bottom w:val="none" w:sz="0" w:space="0" w:color="auto"/>
        <w:right w:val="none" w:sz="0" w:space="0" w:color="auto"/>
      </w:divBdr>
    </w:div>
    <w:div w:id="607929058">
      <w:bodyDiv w:val="1"/>
      <w:marLeft w:val="0"/>
      <w:marRight w:val="0"/>
      <w:marTop w:val="0"/>
      <w:marBottom w:val="0"/>
      <w:divBdr>
        <w:top w:val="none" w:sz="0" w:space="0" w:color="auto"/>
        <w:left w:val="none" w:sz="0" w:space="0" w:color="auto"/>
        <w:bottom w:val="none" w:sz="0" w:space="0" w:color="auto"/>
        <w:right w:val="none" w:sz="0" w:space="0" w:color="auto"/>
      </w:divBdr>
    </w:div>
    <w:div w:id="609238348">
      <w:bodyDiv w:val="1"/>
      <w:marLeft w:val="0"/>
      <w:marRight w:val="0"/>
      <w:marTop w:val="0"/>
      <w:marBottom w:val="0"/>
      <w:divBdr>
        <w:top w:val="none" w:sz="0" w:space="0" w:color="auto"/>
        <w:left w:val="none" w:sz="0" w:space="0" w:color="auto"/>
        <w:bottom w:val="none" w:sz="0" w:space="0" w:color="auto"/>
        <w:right w:val="none" w:sz="0" w:space="0" w:color="auto"/>
      </w:divBdr>
    </w:div>
    <w:div w:id="628586042">
      <w:bodyDiv w:val="1"/>
      <w:marLeft w:val="0"/>
      <w:marRight w:val="0"/>
      <w:marTop w:val="0"/>
      <w:marBottom w:val="0"/>
      <w:divBdr>
        <w:top w:val="none" w:sz="0" w:space="0" w:color="auto"/>
        <w:left w:val="none" w:sz="0" w:space="0" w:color="auto"/>
        <w:bottom w:val="none" w:sz="0" w:space="0" w:color="auto"/>
        <w:right w:val="none" w:sz="0" w:space="0" w:color="auto"/>
      </w:divBdr>
    </w:div>
    <w:div w:id="653997222">
      <w:bodyDiv w:val="1"/>
      <w:marLeft w:val="0"/>
      <w:marRight w:val="0"/>
      <w:marTop w:val="0"/>
      <w:marBottom w:val="0"/>
      <w:divBdr>
        <w:top w:val="none" w:sz="0" w:space="0" w:color="auto"/>
        <w:left w:val="none" w:sz="0" w:space="0" w:color="auto"/>
        <w:bottom w:val="none" w:sz="0" w:space="0" w:color="auto"/>
        <w:right w:val="none" w:sz="0" w:space="0" w:color="auto"/>
      </w:divBdr>
    </w:div>
    <w:div w:id="709066668">
      <w:bodyDiv w:val="1"/>
      <w:marLeft w:val="0"/>
      <w:marRight w:val="0"/>
      <w:marTop w:val="0"/>
      <w:marBottom w:val="0"/>
      <w:divBdr>
        <w:top w:val="none" w:sz="0" w:space="0" w:color="auto"/>
        <w:left w:val="none" w:sz="0" w:space="0" w:color="auto"/>
        <w:bottom w:val="none" w:sz="0" w:space="0" w:color="auto"/>
        <w:right w:val="none" w:sz="0" w:space="0" w:color="auto"/>
      </w:divBdr>
    </w:div>
    <w:div w:id="767123322">
      <w:bodyDiv w:val="1"/>
      <w:marLeft w:val="0"/>
      <w:marRight w:val="0"/>
      <w:marTop w:val="0"/>
      <w:marBottom w:val="0"/>
      <w:divBdr>
        <w:top w:val="none" w:sz="0" w:space="0" w:color="auto"/>
        <w:left w:val="none" w:sz="0" w:space="0" w:color="auto"/>
        <w:bottom w:val="none" w:sz="0" w:space="0" w:color="auto"/>
        <w:right w:val="none" w:sz="0" w:space="0" w:color="auto"/>
      </w:divBdr>
    </w:div>
    <w:div w:id="789250770">
      <w:bodyDiv w:val="1"/>
      <w:marLeft w:val="0"/>
      <w:marRight w:val="0"/>
      <w:marTop w:val="0"/>
      <w:marBottom w:val="0"/>
      <w:divBdr>
        <w:top w:val="none" w:sz="0" w:space="0" w:color="auto"/>
        <w:left w:val="none" w:sz="0" w:space="0" w:color="auto"/>
        <w:bottom w:val="none" w:sz="0" w:space="0" w:color="auto"/>
        <w:right w:val="none" w:sz="0" w:space="0" w:color="auto"/>
      </w:divBdr>
    </w:div>
    <w:div w:id="803885652">
      <w:bodyDiv w:val="1"/>
      <w:marLeft w:val="0"/>
      <w:marRight w:val="0"/>
      <w:marTop w:val="0"/>
      <w:marBottom w:val="0"/>
      <w:divBdr>
        <w:top w:val="none" w:sz="0" w:space="0" w:color="auto"/>
        <w:left w:val="none" w:sz="0" w:space="0" w:color="auto"/>
        <w:bottom w:val="none" w:sz="0" w:space="0" w:color="auto"/>
        <w:right w:val="none" w:sz="0" w:space="0" w:color="auto"/>
      </w:divBdr>
    </w:div>
    <w:div w:id="826747688">
      <w:bodyDiv w:val="1"/>
      <w:marLeft w:val="0"/>
      <w:marRight w:val="0"/>
      <w:marTop w:val="0"/>
      <w:marBottom w:val="0"/>
      <w:divBdr>
        <w:top w:val="none" w:sz="0" w:space="0" w:color="auto"/>
        <w:left w:val="none" w:sz="0" w:space="0" w:color="auto"/>
        <w:bottom w:val="none" w:sz="0" w:space="0" w:color="auto"/>
        <w:right w:val="none" w:sz="0" w:space="0" w:color="auto"/>
      </w:divBdr>
    </w:div>
    <w:div w:id="841163144">
      <w:bodyDiv w:val="1"/>
      <w:marLeft w:val="0"/>
      <w:marRight w:val="0"/>
      <w:marTop w:val="0"/>
      <w:marBottom w:val="0"/>
      <w:divBdr>
        <w:top w:val="none" w:sz="0" w:space="0" w:color="auto"/>
        <w:left w:val="none" w:sz="0" w:space="0" w:color="auto"/>
        <w:bottom w:val="none" w:sz="0" w:space="0" w:color="auto"/>
        <w:right w:val="none" w:sz="0" w:space="0" w:color="auto"/>
      </w:divBdr>
    </w:div>
    <w:div w:id="850335942">
      <w:bodyDiv w:val="1"/>
      <w:marLeft w:val="0"/>
      <w:marRight w:val="0"/>
      <w:marTop w:val="0"/>
      <w:marBottom w:val="0"/>
      <w:divBdr>
        <w:top w:val="none" w:sz="0" w:space="0" w:color="auto"/>
        <w:left w:val="none" w:sz="0" w:space="0" w:color="auto"/>
        <w:bottom w:val="none" w:sz="0" w:space="0" w:color="auto"/>
        <w:right w:val="none" w:sz="0" w:space="0" w:color="auto"/>
      </w:divBdr>
    </w:div>
    <w:div w:id="900363205">
      <w:bodyDiv w:val="1"/>
      <w:marLeft w:val="0"/>
      <w:marRight w:val="0"/>
      <w:marTop w:val="0"/>
      <w:marBottom w:val="0"/>
      <w:divBdr>
        <w:top w:val="none" w:sz="0" w:space="0" w:color="auto"/>
        <w:left w:val="none" w:sz="0" w:space="0" w:color="auto"/>
        <w:bottom w:val="none" w:sz="0" w:space="0" w:color="auto"/>
        <w:right w:val="none" w:sz="0" w:space="0" w:color="auto"/>
      </w:divBdr>
    </w:div>
    <w:div w:id="991760521">
      <w:bodyDiv w:val="1"/>
      <w:marLeft w:val="0"/>
      <w:marRight w:val="0"/>
      <w:marTop w:val="0"/>
      <w:marBottom w:val="0"/>
      <w:divBdr>
        <w:top w:val="none" w:sz="0" w:space="0" w:color="auto"/>
        <w:left w:val="none" w:sz="0" w:space="0" w:color="auto"/>
        <w:bottom w:val="none" w:sz="0" w:space="0" w:color="auto"/>
        <w:right w:val="none" w:sz="0" w:space="0" w:color="auto"/>
      </w:divBdr>
    </w:div>
    <w:div w:id="1040936924">
      <w:bodyDiv w:val="1"/>
      <w:marLeft w:val="0"/>
      <w:marRight w:val="0"/>
      <w:marTop w:val="0"/>
      <w:marBottom w:val="0"/>
      <w:divBdr>
        <w:top w:val="none" w:sz="0" w:space="0" w:color="auto"/>
        <w:left w:val="none" w:sz="0" w:space="0" w:color="auto"/>
        <w:bottom w:val="none" w:sz="0" w:space="0" w:color="auto"/>
        <w:right w:val="none" w:sz="0" w:space="0" w:color="auto"/>
      </w:divBdr>
    </w:div>
    <w:div w:id="1042943494">
      <w:bodyDiv w:val="1"/>
      <w:marLeft w:val="0"/>
      <w:marRight w:val="0"/>
      <w:marTop w:val="0"/>
      <w:marBottom w:val="0"/>
      <w:divBdr>
        <w:top w:val="none" w:sz="0" w:space="0" w:color="auto"/>
        <w:left w:val="none" w:sz="0" w:space="0" w:color="auto"/>
        <w:bottom w:val="none" w:sz="0" w:space="0" w:color="auto"/>
        <w:right w:val="none" w:sz="0" w:space="0" w:color="auto"/>
      </w:divBdr>
      <w:divsChild>
        <w:div w:id="1766655717">
          <w:marLeft w:val="0"/>
          <w:marRight w:val="0"/>
          <w:marTop w:val="0"/>
          <w:marBottom w:val="0"/>
          <w:divBdr>
            <w:top w:val="none" w:sz="0" w:space="0" w:color="auto"/>
            <w:left w:val="none" w:sz="0" w:space="0" w:color="auto"/>
            <w:bottom w:val="none" w:sz="0" w:space="0" w:color="auto"/>
            <w:right w:val="none" w:sz="0" w:space="0" w:color="auto"/>
          </w:divBdr>
        </w:div>
        <w:div w:id="1881938064">
          <w:marLeft w:val="0"/>
          <w:marRight w:val="0"/>
          <w:marTop w:val="0"/>
          <w:marBottom w:val="0"/>
          <w:divBdr>
            <w:top w:val="none" w:sz="0" w:space="0" w:color="auto"/>
            <w:left w:val="none" w:sz="0" w:space="0" w:color="auto"/>
            <w:bottom w:val="none" w:sz="0" w:space="0" w:color="auto"/>
            <w:right w:val="none" w:sz="0" w:space="0" w:color="auto"/>
          </w:divBdr>
        </w:div>
        <w:div w:id="2124691832">
          <w:marLeft w:val="0"/>
          <w:marRight w:val="0"/>
          <w:marTop w:val="0"/>
          <w:marBottom w:val="0"/>
          <w:divBdr>
            <w:top w:val="none" w:sz="0" w:space="0" w:color="auto"/>
            <w:left w:val="none" w:sz="0" w:space="0" w:color="auto"/>
            <w:bottom w:val="none" w:sz="0" w:space="0" w:color="auto"/>
            <w:right w:val="none" w:sz="0" w:space="0" w:color="auto"/>
          </w:divBdr>
        </w:div>
      </w:divsChild>
    </w:div>
    <w:div w:id="1085953375">
      <w:bodyDiv w:val="1"/>
      <w:marLeft w:val="0"/>
      <w:marRight w:val="0"/>
      <w:marTop w:val="0"/>
      <w:marBottom w:val="0"/>
      <w:divBdr>
        <w:top w:val="none" w:sz="0" w:space="0" w:color="auto"/>
        <w:left w:val="none" w:sz="0" w:space="0" w:color="auto"/>
        <w:bottom w:val="none" w:sz="0" w:space="0" w:color="auto"/>
        <w:right w:val="none" w:sz="0" w:space="0" w:color="auto"/>
      </w:divBdr>
    </w:div>
    <w:div w:id="1115753039">
      <w:bodyDiv w:val="1"/>
      <w:marLeft w:val="0"/>
      <w:marRight w:val="0"/>
      <w:marTop w:val="0"/>
      <w:marBottom w:val="0"/>
      <w:divBdr>
        <w:top w:val="none" w:sz="0" w:space="0" w:color="auto"/>
        <w:left w:val="none" w:sz="0" w:space="0" w:color="auto"/>
        <w:bottom w:val="none" w:sz="0" w:space="0" w:color="auto"/>
        <w:right w:val="none" w:sz="0" w:space="0" w:color="auto"/>
      </w:divBdr>
    </w:div>
    <w:div w:id="1118260171">
      <w:bodyDiv w:val="1"/>
      <w:marLeft w:val="0"/>
      <w:marRight w:val="0"/>
      <w:marTop w:val="0"/>
      <w:marBottom w:val="0"/>
      <w:divBdr>
        <w:top w:val="none" w:sz="0" w:space="0" w:color="auto"/>
        <w:left w:val="none" w:sz="0" w:space="0" w:color="auto"/>
        <w:bottom w:val="none" w:sz="0" w:space="0" w:color="auto"/>
        <w:right w:val="none" w:sz="0" w:space="0" w:color="auto"/>
      </w:divBdr>
    </w:div>
    <w:div w:id="1138380423">
      <w:bodyDiv w:val="1"/>
      <w:marLeft w:val="0"/>
      <w:marRight w:val="0"/>
      <w:marTop w:val="0"/>
      <w:marBottom w:val="0"/>
      <w:divBdr>
        <w:top w:val="none" w:sz="0" w:space="0" w:color="auto"/>
        <w:left w:val="none" w:sz="0" w:space="0" w:color="auto"/>
        <w:bottom w:val="none" w:sz="0" w:space="0" w:color="auto"/>
        <w:right w:val="none" w:sz="0" w:space="0" w:color="auto"/>
      </w:divBdr>
    </w:div>
    <w:div w:id="1153520638">
      <w:bodyDiv w:val="1"/>
      <w:marLeft w:val="0"/>
      <w:marRight w:val="0"/>
      <w:marTop w:val="0"/>
      <w:marBottom w:val="0"/>
      <w:divBdr>
        <w:top w:val="none" w:sz="0" w:space="0" w:color="auto"/>
        <w:left w:val="none" w:sz="0" w:space="0" w:color="auto"/>
        <w:bottom w:val="none" w:sz="0" w:space="0" w:color="auto"/>
        <w:right w:val="none" w:sz="0" w:space="0" w:color="auto"/>
      </w:divBdr>
    </w:div>
    <w:div w:id="1153640680">
      <w:bodyDiv w:val="1"/>
      <w:marLeft w:val="0"/>
      <w:marRight w:val="0"/>
      <w:marTop w:val="0"/>
      <w:marBottom w:val="0"/>
      <w:divBdr>
        <w:top w:val="none" w:sz="0" w:space="0" w:color="auto"/>
        <w:left w:val="none" w:sz="0" w:space="0" w:color="auto"/>
        <w:bottom w:val="none" w:sz="0" w:space="0" w:color="auto"/>
        <w:right w:val="none" w:sz="0" w:space="0" w:color="auto"/>
      </w:divBdr>
    </w:div>
    <w:div w:id="1175992667">
      <w:bodyDiv w:val="1"/>
      <w:marLeft w:val="0"/>
      <w:marRight w:val="0"/>
      <w:marTop w:val="0"/>
      <w:marBottom w:val="0"/>
      <w:divBdr>
        <w:top w:val="none" w:sz="0" w:space="0" w:color="auto"/>
        <w:left w:val="none" w:sz="0" w:space="0" w:color="auto"/>
        <w:bottom w:val="none" w:sz="0" w:space="0" w:color="auto"/>
        <w:right w:val="none" w:sz="0" w:space="0" w:color="auto"/>
      </w:divBdr>
    </w:div>
    <w:div w:id="1200705630">
      <w:bodyDiv w:val="1"/>
      <w:marLeft w:val="0"/>
      <w:marRight w:val="0"/>
      <w:marTop w:val="0"/>
      <w:marBottom w:val="0"/>
      <w:divBdr>
        <w:top w:val="none" w:sz="0" w:space="0" w:color="auto"/>
        <w:left w:val="none" w:sz="0" w:space="0" w:color="auto"/>
        <w:bottom w:val="none" w:sz="0" w:space="0" w:color="auto"/>
        <w:right w:val="none" w:sz="0" w:space="0" w:color="auto"/>
      </w:divBdr>
    </w:div>
    <w:div w:id="1257590696">
      <w:bodyDiv w:val="1"/>
      <w:marLeft w:val="0"/>
      <w:marRight w:val="0"/>
      <w:marTop w:val="0"/>
      <w:marBottom w:val="0"/>
      <w:divBdr>
        <w:top w:val="none" w:sz="0" w:space="0" w:color="auto"/>
        <w:left w:val="none" w:sz="0" w:space="0" w:color="auto"/>
        <w:bottom w:val="none" w:sz="0" w:space="0" w:color="auto"/>
        <w:right w:val="none" w:sz="0" w:space="0" w:color="auto"/>
      </w:divBdr>
    </w:div>
    <w:div w:id="1267617255">
      <w:bodyDiv w:val="1"/>
      <w:marLeft w:val="0"/>
      <w:marRight w:val="0"/>
      <w:marTop w:val="0"/>
      <w:marBottom w:val="0"/>
      <w:divBdr>
        <w:top w:val="none" w:sz="0" w:space="0" w:color="auto"/>
        <w:left w:val="none" w:sz="0" w:space="0" w:color="auto"/>
        <w:bottom w:val="none" w:sz="0" w:space="0" w:color="auto"/>
        <w:right w:val="none" w:sz="0" w:space="0" w:color="auto"/>
      </w:divBdr>
    </w:div>
    <w:div w:id="1352292573">
      <w:bodyDiv w:val="1"/>
      <w:marLeft w:val="0"/>
      <w:marRight w:val="0"/>
      <w:marTop w:val="0"/>
      <w:marBottom w:val="0"/>
      <w:divBdr>
        <w:top w:val="none" w:sz="0" w:space="0" w:color="auto"/>
        <w:left w:val="none" w:sz="0" w:space="0" w:color="auto"/>
        <w:bottom w:val="none" w:sz="0" w:space="0" w:color="auto"/>
        <w:right w:val="none" w:sz="0" w:space="0" w:color="auto"/>
      </w:divBdr>
    </w:div>
    <w:div w:id="1388214899">
      <w:bodyDiv w:val="1"/>
      <w:marLeft w:val="0"/>
      <w:marRight w:val="0"/>
      <w:marTop w:val="0"/>
      <w:marBottom w:val="0"/>
      <w:divBdr>
        <w:top w:val="none" w:sz="0" w:space="0" w:color="auto"/>
        <w:left w:val="none" w:sz="0" w:space="0" w:color="auto"/>
        <w:bottom w:val="none" w:sz="0" w:space="0" w:color="auto"/>
        <w:right w:val="none" w:sz="0" w:space="0" w:color="auto"/>
      </w:divBdr>
    </w:div>
    <w:div w:id="1439255161">
      <w:bodyDiv w:val="1"/>
      <w:marLeft w:val="0"/>
      <w:marRight w:val="0"/>
      <w:marTop w:val="0"/>
      <w:marBottom w:val="0"/>
      <w:divBdr>
        <w:top w:val="none" w:sz="0" w:space="0" w:color="auto"/>
        <w:left w:val="none" w:sz="0" w:space="0" w:color="auto"/>
        <w:bottom w:val="none" w:sz="0" w:space="0" w:color="auto"/>
        <w:right w:val="none" w:sz="0" w:space="0" w:color="auto"/>
      </w:divBdr>
    </w:div>
    <w:div w:id="1473985901">
      <w:bodyDiv w:val="1"/>
      <w:marLeft w:val="0"/>
      <w:marRight w:val="0"/>
      <w:marTop w:val="0"/>
      <w:marBottom w:val="0"/>
      <w:divBdr>
        <w:top w:val="none" w:sz="0" w:space="0" w:color="auto"/>
        <w:left w:val="none" w:sz="0" w:space="0" w:color="auto"/>
        <w:bottom w:val="none" w:sz="0" w:space="0" w:color="auto"/>
        <w:right w:val="none" w:sz="0" w:space="0" w:color="auto"/>
      </w:divBdr>
    </w:div>
    <w:div w:id="1673676118">
      <w:bodyDiv w:val="1"/>
      <w:marLeft w:val="0"/>
      <w:marRight w:val="0"/>
      <w:marTop w:val="0"/>
      <w:marBottom w:val="0"/>
      <w:divBdr>
        <w:top w:val="none" w:sz="0" w:space="0" w:color="auto"/>
        <w:left w:val="none" w:sz="0" w:space="0" w:color="auto"/>
        <w:bottom w:val="none" w:sz="0" w:space="0" w:color="auto"/>
        <w:right w:val="none" w:sz="0" w:space="0" w:color="auto"/>
      </w:divBdr>
    </w:div>
    <w:div w:id="1718116712">
      <w:bodyDiv w:val="1"/>
      <w:marLeft w:val="0"/>
      <w:marRight w:val="0"/>
      <w:marTop w:val="0"/>
      <w:marBottom w:val="0"/>
      <w:divBdr>
        <w:top w:val="none" w:sz="0" w:space="0" w:color="auto"/>
        <w:left w:val="none" w:sz="0" w:space="0" w:color="auto"/>
        <w:bottom w:val="none" w:sz="0" w:space="0" w:color="auto"/>
        <w:right w:val="none" w:sz="0" w:space="0" w:color="auto"/>
      </w:divBdr>
    </w:div>
    <w:div w:id="1781677752">
      <w:bodyDiv w:val="1"/>
      <w:marLeft w:val="0"/>
      <w:marRight w:val="0"/>
      <w:marTop w:val="0"/>
      <w:marBottom w:val="0"/>
      <w:divBdr>
        <w:top w:val="none" w:sz="0" w:space="0" w:color="auto"/>
        <w:left w:val="none" w:sz="0" w:space="0" w:color="auto"/>
        <w:bottom w:val="none" w:sz="0" w:space="0" w:color="auto"/>
        <w:right w:val="none" w:sz="0" w:space="0" w:color="auto"/>
      </w:divBdr>
    </w:div>
    <w:div w:id="1829982913">
      <w:bodyDiv w:val="1"/>
      <w:marLeft w:val="0"/>
      <w:marRight w:val="0"/>
      <w:marTop w:val="0"/>
      <w:marBottom w:val="0"/>
      <w:divBdr>
        <w:top w:val="none" w:sz="0" w:space="0" w:color="auto"/>
        <w:left w:val="none" w:sz="0" w:space="0" w:color="auto"/>
        <w:bottom w:val="none" w:sz="0" w:space="0" w:color="auto"/>
        <w:right w:val="none" w:sz="0" w:space="0" w:color="auto"/>
      </w:divBdr>
    </w:div>
    <w:div w:id="1832671101">
      <w:bodyDiv w:val="1"/>
      <w:marLeft w:val="0"/>
      <w:marRight w:val="0"/>
      <w:marTop w:val="0"/>
      <w:marBottom w:val="0"/>
      <w:divBdr>
        <w:top w:val="none" w:sz="0" w:space="0" w:color="auto"/>
        <w:left w:val="none" w:sz="0" w:space="0" w:color="auto"/>
        <w:bottom w:val="none" w:sz="0" w:space="0" w:color="auto"/>
        <w:right w:val="none" w:sz="0" w:space="0" w:color="auto"/>
      </w:divBdr>
    </w:div>
    <w:div w:id="1862671041">
      <w:bodyDiv w:val="1"/>
      <w:marLeft w:val="0"/>
      <w:marRight w:val="0"/>
      <w:marTop w:val="0"/>
      <w:marBottom w:val="0"/>
      <w:divBdr>
        <w:top w:val="none" w:sz="0" w:space="0" w:color="auto"/>
        <w:left w:val="none" w:sz="0" w:space="0" w:color="auto"/>
        <w:bottom w:val="none" w:sz="0" w:space="0" w:color="auto"/>
        <w:right w:val="none" w:sz="0" w:space="0" w:color="auto"/>
      </w:divBdr>
    </w:div>
    <w:div w:id="1873959637">
      <w:bodyDiv w:val="1"/>
      <w:marLeft w:val="0"/>
      <w:marRight w:val="0"/>
      <w:marTop w:val="0"/>
      <w:marBottom w:val="0"/>
      <w:divBdr>
        <w:top w:val="none" w:sz="0" w:space="0" w:color="auto"/>
        <w:left w:val="none" w:sz="0" w:space="0" w:color="auto"/>
        <w:bottom w:val="none" w:sz="0" w:space="0" w:color="auto"/>
        <w:right w:val="none" w:sz="0" w:space="0" w:color="auto"/>
      </w:divBdr>
    </w:div>
    <w:div w:id="1886987716">
      <w:bodyDiv w:val="1"/>
      <w:marLeft w:val="0"/>
      <w:marRight w:val="0"/>
      <w:marTop w:val="0"/>
      <w:marBottom w:val="0"/>
      <w:divBdr>
        <w:top w:val="none" w:sz="0" w:space="0" w:color="auto"/>
        <w:left w:val="none" w:sz="0" w:space="0" w:color="auto"/>
        <w:bottom w:val="none" w:sz="0" w:space="0" w:color="auto"/>
        <w:right w:val="none" w:sz="0" w:space="0" w:color="auto"/>
      </w:divBdr>
    </w:div>
    <w:div w:id="1917594950">
      <w:bodyDiv w:val="1"/>
      <w:marLeft w:val="0"/>
      <w:marRight w:val="0"/>
      <w:marTop w:val="0"/>
      <w:marBottom w:val="0"/>
      <w:divBdr>
        <w:top w:val="none" w:sz="0" w:space="0" w:color="auto"/>
        <w:left w:val="none" w:sz="0" w:space="0" w:color="auto"/>
        <w:bottom w:val="none" w:sz="0" w:space="0" w:color="auto"/>
        <w:right w:val="none" w:sz="0" w:space="0" w:color="auto"/>
      </w:divBdr>
    </w:div>
    <w:div w:id="1935433675">
      <w:bodyDiv w:val="1"/>
      <w:marLeft w:val="0"/>
      <w:marRight w:val="0"/>
      <w:marTop w:val="0"/>
      <w:marBottom w:val="0"/>
      <w:divBdr>
        <w:top w:val="none" w:sz="0" w:space="0" w:color="auto"/>
        <w:left w:val="none" w:sz="0" w:space="0" w:color="auto"/>
        <w:bottom w:val="none" w:sz="0" w:space="0" w:color="auto"/>
        <w:right w:val="none" w:sz="0" w:space="0" w:color="auto"/>
      </w:divBdr>
    </w:div>
    <w:div w:id="1963032214">
      <w:bodyDiv w:val="1"/>
      <w:marLeft w:val="0"/>
      <w:marRight w:val="0"/>
      <w:marTop w:val="0"/>
      <w:marBottom w:val="0"/>
      <w:divBdr>
        <w:top w:val="none" w:sz="0" w:space="0" w:color="auto"/>
        <w:left w:val="none" w:sz="0" w:space="0" w:color="auto"/>
        <w:bottom w:val="none" w:sz="0" w:space="0" w:color="auto"/>
        <w:right w:val="none" w:sz="0" w:space="0" w:color="auto"/>
      </w:divBdr>
    </w:div>
    <w:div w:id="2003120638">
      <w:bodyDiv w:val="1"/>
      <w:marLeft w:val="0"/>
      <w:marRight w:val="0"/>
      <w:marTop w:val="0"/>
      <w:marBottom w:val="0"/>
      <w:divBdr>
        <w:top w:val="none" w:sz="0" w:space="0" w:color="auto"/>
        <w:left w:val="none" w:sz="0" w:space="0" w:color="auto"/>
        <w:bottom w:val="none" w:sz="0" w:space="0" w:color="auto"/>
        <w:right w:val="none" w:sz="0" w:space="0" w:color="auto"/>
      </w:divBdr>
    </w:div>
    <w:div w:id="2003502783">
      <w:bodyDiv w:val="1"/>
      <w:marLeft w:val="0"/>
      <w:marRight w:val="0"/>
      <w:marTop w:val="0"/>
      <w:marBottom w:val="0"/>
      <w:divBdr>
        <w:top w:val="none" w:sz="0" w:space="0" w:color="auto"/>
        <w:left w:val="none" w:sz="0" w:space="0" w:color="auto"/>
        <w:bottom w:val="none" w:sz="0" w:space="0" w:color="auto"/>
        <w:right w:val="none" w:sz="0" w:space="0" w:color="auto"/>
      </w:divBdr>
    </w:div>
    <w:div w:id="2056348847">
      <w:bodyDiv w:val="1"/>
      <w:marLeft w:val="0"/>
      <w:marRight w:val="0"/>
      <w:marTop w:val="0"/>
      <w:marBottom w:val="0"/>
      <w:divBdr>
        <w:top w:val="none" w:sz="0" w:space="0" w:color="auto"/>
        <w:left w:val="none" w:sz="0" w:space="0" w:color="auto"/>
        <w:bottom w:val="none" w:sz="0" w:space="0" w:color="auto"/>
        <w:right w:val="none" w:sz="0" w:space="0" w:color="auto"/>
      </w:divBdr>
    </w:div>
    <w:div w:id="2092579830">
      <w:bodyDiv w:val="1"/>
      <w:marLeft w:val="0"/>
      <w:marRight w:val="0"/>
      <w:marTop w:val="0"/>
      <w:marBottom w:val="0"/>
      <w:divBdr>
        <w:top w:val="none" w:sz="0" w:space="0" w:color="auto"/>
        <w:left w:val="none" w:sz="0" w:space="0" w:color="auto"/>
        <w:bottom w:val="none" w:sz="0" w:space="0" w:color="auto"/>
        <w:right w:val="none" w:sz="0" w:space="0" w:color="auto"/>
      </w:divBdr>
    </w:div>
    <w:div w:id="2135830793">
      <w:bodyDiv w:val="1"/>
      <w:marLeft w:val="0"/>
      <w:marRight w:val="0"/>
      <w:marTop w:val="0"/>
      <w:marBottom w:val="0"/>
      <w:divBdr>
        <w:top w:val="none" w:sz="0" w:space="0" w:color="auto"/>
        <w:left w:val="none" w:sz="0" w:space="0" w:color="auto"/>
        <w:bottom w:val="none" w:sz="0" w:space="0" w:color="auto"/>
        <w:right w:val="none" w:sz="0" w:space="0" w:color="auto"/>
      </w:divBdr>
      <w:divsChild>
        <w:div w:id="78139805">
          <w:marLeft w:val="0"/>
          <w:marRight w:val="0"/>
          <w:marTop w:val="0"/>
          <w:marBottom w:val="0"/>
          <w:divBdr>
            <w:top w:val="none" w:sz="0" w:space="0" w:color="auto"/>
            <w:left w:val="none" w:sz="0" w:space="0" w:color="auto"/>
            <w:bottom w:val="none" w:sz="0" w:space="0" w:color="auto"/>
            <w:right w:val="none" w:sz="0" w:space="0" w:color="auto"/>
          </w:divBdr>
        </w:div>
        <w:div w:id="329677115">
          <w:marLeft w:val="0"/>
          <w:marRight w:val="0"/>
          <w:marTop w:val="0"/>
          <w:marBottom w:val="0"/>
          <w:divBdr>
            <w:top w:val="none" w:sz="0" w:space="0" w:color="auto"/>
            <w:left w:val="none" w:sz="0" w:space="0" w:color="auto"/>
            <w:bottom w:val="none" w:sz="0" w:space="0" w:color="auto"/>
            <w:right w:val="none" w:sz="0" w:space="0" w:color="auto"/>
          </w:divBdr>
        </w:div>
        <w:div w:id="20931157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venium-site.com/uploads/event_member/148186/B2_1_Hamayon_Legros_Pradat.pdf"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numbering.xml.rels><?xml version="1.0" encoding="UTF-8" standalone="yes"?>
<Relationships xmlns="http://schemas.openxmlformats.org/package/2006/relationships"><Relationship Id="rId3" Type="http://schemas.openxmlformats.org/officeDocument/2006/relationships/image" Target="media/image3.wmf"/><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wmf"/></Relationships>
</file>

<file path=word/_rels/settings.xml.rels><?xml version="1.0" encoding="UTF-8" standalone="yes"?>
<Relationships xmlns="http://schemas.openxmlformats.org/package/2006/relationships"><Relationship Id="rId1" Type="http://schemas.openxmlformats.org/officeDocument/2006/relationships/attachedTemplate" Target="file:///C:\Mod&#232;les%20HARVEST\Notes\HVS_Note_cadrage.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7EA2C2-C46F-4757-A930-2B5DAFE0D6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HVS_Note_cadrage.dot</Template>
  <TotalTime>73</TotalTime>
  <Pages>9</Pages>
  <Words>2603</Words>
  <Characters>14319</Characters>
  <Application>Microsoft Office Word</Application>
  <DocSecurity>0</DocSecurity>
  <Lines>119</Lines>
  <Paragraphs>33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16889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JPRobin</dc:creator>
  <cp:keywords/>
  <dc:description/>
  <cp:lastModifiedBy>Stéphane HAMAYON (Harvest)</cp:lastModifiedBy>
  <cp:revision>22</cp:revision>
  <cp:lastPrinted>2020-02-24T17:12:00Z</cp:lastPrinted>
  <dcterms:created xsi:type="dcterms:W3CDTF">2021-11-30T17:12:00Z</dcterms:created>
  <dcterms:modified xsi:type="dcterms:W3CDTF">2025-04-16T12:46:00Z</dcterms:modified>
</cp:coreProperties>
</file>