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BDA4" w14:textId="340DB818" w:rsidR="00C63575" w:rsidRPr="00417F38" w:rsidRDefault="00C63575" w:rsidP="00E355B5">
      <w:pPr>
        <w:ind w:right="284"/>
        <w:jc w:val="center"/>
        <w:rPr>
          <w:rFonts w:eastAsia="Times New Roman" w:cs="Times New Roman"/>
          <w:b/>
          <w:noProof/>
          <w:sz w:val="22"/>
          <w:u w:color="7030A0"/>
          <w:lang w:eastAsia="fr-FR"/>
        </w:rPr>
      </w:pPr>
      <w:r w:rsidRPr="00417F38">
        <w:rPr>
          <w:rFonts w:eastAsia="Times New Roman" w:cs="Times New Roman"/>
          <w:b/>
          <w:noProof/>
          <w:sz w:val="22"/>
          <w:u w:color="7030A0"/>
          <w:lang w:eastAsia="fr-FR"/>
        </w:rPr>
        <w:t>Genre de la pratique et pratique du genre. Le port de la jupe par les hommes : une pratique de consommation déviante à (re)construire</w:t>
      </w:r>
    </w:p>
    <w:p w14:paraId="0BBF3897" w14:textId="77777777" w:rsidR="00C63575" w:rsidRPr="00417F38" w:rsidRDefault="00C63575" w:rsidP="00E355B5">
      <w:pPr>
        <w:ind w:hanging="480"/>
        <w:rPr>
          <w:rFonts w:eastAsia="Times New Roman" w:cs="Times New Roman"/>
          <w:b/>
          <w:bCs/>
          <w:sz w:val="22"/>
          <w:lang w:eastAsia="fr-FR"/>
        </w:rPr>
      </w:pPr>
      <w:r w:rsidRPr="00417F38">
        <w:rPr>
          <w:rFonts w:eastAsia="Times New Roman" w:cs="Times New Roman"/>
          <w:b/>
          <w:bCs/>
          <w:sz w:val="22"/>
          <w:lang w:eastAsia="fr-FR"/>
        </w:rPr>
        <w:t>Résumé</w:t>
      </w:r>
    </w:p>
    <w:p w14:paraId="23040E63" w14:textId="77777777" w:rsidR="00797826" w:rsidRDefault="00C63575" w:rsidP="00E355B5">
      <w:pPr>
        <w:rPr>
          <w:rFonts w:cs="Times New Roman"/>
          <w:color w:val="000000" w:themeColor="text1"/>
          <w:sz w:val="20"/>
          <w:szCs w:val="20"/>
        </w:rPr>
      </w:pPr>
      <w:r w:rsidRPr="00417F38">
        <w:rPr>
          <w:rFonts w:cs="Times New Roman"/>
          <w:color w:val="000000" w:themeColor="text1"/>
          <w:sz w:val="20"/>
          <w:szCs w:val="20"/>
        </w:rPr>
        <w:t xml:space="preserve">Les travaux de la </w:t>
      </w:r>
      <w:r w:rsidRPr="00417F38">
        <w:rPr>
          <w:rFonts w:cs="Times New Roman"/>
          <w:i/>
          <w:iCs/>
          <w:color w:val="000000" w:themeColor="text1"/>
          <w:sz w:val="20"/>
          <w:szCs w:val="20"/>
        </w:rPr>
        <w:t>Consumer Culture Theory</w:t>
      </w:r>
      <w:r w:rsidRPr="00417F38">
        <w:rPr>
          <w:rFonts w:cs="Times New Roman"/>
          <w:color w:val="000000" w:themeColor="text1"/>
          <w:sz w:val="20"/>
          <w:szCs w:val="20"/>
        </w:rPr>
        <w:t xml:space="preserve"> postulent que le genre est un construit social définit par un contexte historique et culturel. Celui-ci est performé au quotidien par les individus au travers de leur pratiques et au cours des interactions sociales. De nombreuses recherches en </w:t>
      </w:r>
      <w:r w:rsidRPr="00417F38">
        <w:rPr>
          <w:rFonts w:cs="Times New Roman"/>
          <w:i/>
          <w:iCs/>
          <w:color w:val="000000" w:themeColor="text1"/>
          <w:sz w:val="20"/>
          <w:szCs w:val="20"/>
        </w:rPr>
        <w:t xml:space="preserve">Consumer </w:t>
      </w:r>
      <w:proofErr w:type="spellStart"/>
      <w:r w:rsidRPr="00417F38">
        <w:rPr>
          <w:rFonts w:cs="Times New Roman"/>
          <w:i/>
          <w:iCs/>
          <w:color w:val="000000" w:themeColor="text1"/>
          <w:sz w:val="20"/>
          <w:szCs w:val="20"/>
        </w:rPr>
        <w:t>Research</w:t>
      </w:r>
      <w:proofErr w:type="spellEnd"/>
      <w:r w:rsidRPr="00417F38">
        <w:rPr>
          <w:rFonts w:cs="Times New Roman"/>
          <w:color w:val="000000" w:themeColor="text1"/>
          <w:sz w:val="20"/>
          <w:szCs w:val="20"/>
        </w:rPr>
        <w:t xml:space="preserve"> ont ainsi illustré la façon dont le genre peut être </w:t>
      </w:r>
      <w:r w:rsidRPr="00417F38">
        <w:rPr>
          <w:rFonts w:cs="Times New Roman"/>
          <w:i/>
          <w:iCs/>
          <w:color w:val="000000" w:themeColor="text1"/>
          <w:sz w:val="20"/>
          <w:szCs w:val="20"/>
        </w:rPr>
        <w:t>fait</w:t>
      </w:r>
      <w:r w:rsidRPr="00417F38">
        <w:rPr>
          <w:rFonts w:cs="Times New Roman"/>
          <w:color w:val="000000" w:themeColor="text1"/>
          <w:sz w:val="20"/>
          <w:szCs w:val="20"/>
        </w:rPr>
        <w:t xml:space="preserve"> au travers des pratiques de consommation ainsi que la façon dont celles-ci participent à sa reproduction et à son invisibilisation. </w:t>
      </w:r>
    </w:p>
    <w:p w14:paraId="1F85203B" w14:textId="77777777" w:rsidR="00797826" w:rsidRDefault="00797826" w:rsidP="00E355B5">
      <w:pPr>
        <w:rPr>
          <w:rFonts w:cs="Times New Roman"/>
          <w:color w:val="000000" w:themeColor="text1"/>
          <w:sz w:val="20"/>
          <w:szCs w:val="20"/>
        </w:rPr>
      </w:pPr>
      <w:r>
        <w:rPr>
          <w:rFonts w:cs="Times New Roman"/>
          <w:color w:val="000000" w:themeColor="text1"/>
          <w:sz w:val="20"/>
          <w:szCs w:val="20"/>
        </w:rPr>
        <w:t>De nombreux travaux ont néanmoins pointé</w:t>
      </w:r>
      <w:r w:rsidR="00C63575" w:rsidRPr="00417F38">
        <w:rPr>
          <w:rFonts w:cs="Times New Roman"/>
          <w:color w:val="000000" w:themeColor="text1"/>
          <w:sz w:val="20"/>
          <w:szCs w:val="20"/>
        </w:rPr>
        <w:t xml:space="preserve"> la façon dont les pratiques de consommation transgressives participent à la déconstruction du genre</w:t>
      </w:r>
      <w:r>
        <w:rPr>
          <w:rFonts w:cs="Times New Roman"/>
          <w:color w:val="000000" w:themeColor="text1"/>
          <w:sz w:val="20"/>
          <w:szCs w:val="20"/>
        </w:rPr>
        <w:t xml:space="preserve">. </w:t>
      </w:r>
      <w:r w:rsidR="00C63575" w:rsidRPr="00417F38">
        <w:rPr>
          <w:rFonts w:cs="Times New Roman"/>
          <w:color w:val="000000" w:themeColor="text1"/>
          <w:sz w:val="20"/>
          <w:szCs w:val="20"/>
        </w:rPr>
        <w:t>Mais si les travaux ont eu tendance à interroger les reconfigurations de la féminité des consommatrices au travers de leur investissement dans des pratiques à dominantes masculines, il semble que peu de travaux aient interrogé le rôle des pratiques de consommation désignées comme féminines dans la reconfiguration de la masculinité des consommateurs.</w:t>
      </w:r>
      <w:r w:rsidR="00417F38">
        <w:rPr>
          <w:rFonts w:cs="Times New Roman"/>
          <w:color w:val="000000" w:themeColor="text1"/>
          <w:sz w:val="20"/>
          <w:szCs w:val="20"/>
        </w:rPr>
        <w:t xml:space="preserve"> </w:t>
      </w:r>
      <w:r w:rsidR="00C63575" w:rsidRPr="00417F38">
        <w:rPr>
          <w:rFonts w:cs="Times New Roman"/>
          <w:color w:val="000000" w:themeColor="text1"/>
          <w:sz w:val="20"/>
          <w:szCs w:val="20"/>
        </w:rPr>
        <w:t xml:space="preserve">Nous identifions </w:t>
      </w:r>
      <w:r>
        <w:rPr>
          <w:rFonts w:cs="Times New Roman"/>
          <w:color w:val="000000" w:themeColor="text1"/>
          <w:sz w:val="20"/>
          <w:szCs w:val="20"/>
        </w:rPr>
        <w:t>ainsi</w:t>
      </w:r>
      <w:r w:rsidR="00417F38">
        <w:rPr>
          <w:rFonts w:cs="Times New Roman"/>
          <w:color w:val="000000" w:themeColor="text1"/>
          <w:sz w:val="20"/>
          <w:szCs w:val="20"/>
        </w:rPr>
        <w:t xml:space="preserve"> </w:t>
      </w:r>
      <w:r w:rsidR="00C63575" w:rsidRPr="00417F38">
        <w:rPr>
          <w:rFonts w:cs="Times New Roman"/>
          <w:color w:val="000000" w:themeColor="text1"/>
          <w:sz w:val="20"/>
          <w:szCs w:val="20"/>
        </w:rPr>
        <w:t xml:space="preserve">que le cadre de référence des performances légitimes de la masculinité est la </w:t>
      </w:r>
      <w:r w:rsidR="00C63575" w:rsidRPr="00417F38">
        <w:rPr>
          <w:rFonts w:cs="Times New Roman"/>
          <w:i/>
          <w:iCs/>
          <w:color w:val="000000" w:themeColor="text1"/>
          <w:sz w:val="20"/>
          <w:szCs w:val="20"/>
        </w:rPr>
        <w:t>masculinité hégémonique</w:t>
      </w:r>
      <w:r w:rsidR="00C63575" w:rsidRPr="00417F38">
        <w:rPr>
          <w:rFonts w:cs="Times New Roman"/>
          <w:color w:val="000000" w:themeColor="text1"/>
          <w:sz w:val="20"/>
          <w:szCs w:val="20"/>
        </w:rPr>
        <w:t xml:space="preserve">. Celle-ci induit une construction de la masculinité idéale dans l’éloignement voire </w:t>
      </w:r>
      <w:r w:rsidR="00534225">
        <w:rPr>
          <w:rFonts w:cs="Times New Roman"/>
          <w:color w:val="000000" w:themeColor="text1"/>
          <w:sz w:val="20"/>
          <w:szCs w:val="20"/>
        </w:rPr>
        <w:t>dans l’</w:t>
      </w:r>
      <w:r w:rsidR="00C63575" w:rsidRPr="00417F38">
        <w:rPr>
          <w:rFonts w:cs="Times New Roman"/>
          <w:color w:val="000000" w:themeColor="text1"/>
          <w:sz w:val="20"/>
          <w:szCs w:val="20"/>
        </w:rPr>
        <w:t xml:space="preserve">opposition à la féminité. Nous interrogeons </w:t>
      </w:r>
      <w:r>
        <w:rPr>
          <w:rFonts w:cs="Times New Roman"/>
          <w:color w:val="000000" w:themeColor="text1"/>
          <w:sz w:val="20"/>
          <w:szCs w:val="20"/>
        </w:rPr>
        <w:t>alors</w:t>
      </w:r>
      <w:r w:rsidR="00C63575" w:rsidRPr="00417F38">
        <w:rPr>
          <w:rFonts w:cs="Times New Roman"/>
          <w:color w:val="000000" w:themeColor="text1"/>
          <w:sz w:val="20"/>
          <w:szCs w:val="20"/>
        </w:rPr>
        <w:t xml:space="preserve"> les masculinités transgressives au travers de l’étude du cas des porteurs de jupe. </w:t>
      </w:r>
    </w:p>
    <w:p w14:paraId="064F0564" w14:textId="62740B88" w:rsidR="00F45EDF" w:rsidRDefault="00C63575" w:rsidP="00E355B5">
      <w:pPr>
        <w:rPr>
          <w:rFonts w:cs="Times New Roman"/>
          <w:color w:val="000000" w:themeColor="text1"/>
          <w:sz w:val="20"/>
          <w:szCs w:val="20"/>
        </w:rPr>
      </w:pPr>
      <w:r w:rsidRPr="00417F38">
        <w:rPr>
          <w:rFonts w:cs="Times New Roman"/>
          <w:color w:val="000000" w:themeColor="text1"/>
          <w:sz w:val="20"/>
          <w:szCs w:val="20"/>
        </w:rPr>
        <w:t>Construite historiquement comme une pratique vestimentaire féminine, le port de la jupe éloigne ses porteurs du cadre des performances reconnues et valorisées de la masculinité.</w:t>
      </w:r>
      <w:r w:rsidR="00797826">
        <w:rPr>
          <w:rFonts w:cs="Times New Roman"/>
          <w:color w:val="000000" w:themeColor="text1"/>
          <w:sz w:val="20"/>
          <w:szCs w:val="20"/>
        </w:rPr>
        <w:t xml:space="preserve"> </w:t>
      </w:r>
      <w:r w:rsidRPr="00417F38">
        <w:rPr>
          <w:rFonts w:cs="Times New Roman"/>
          <w:color w:val="000000" w:themeColor="text1"/>
          <w:sz w:val="20"/>
          <w:szCs w:val="20"/>
        </w:rPr>
        <w:t xml:space="preserve">Grâce au concept de carrière de carrières déviantes, nous parvenons à mettre en évidence les conditions nécessaires aux consommateurs à une sortie des frontières symboliques de la masculinité hégémonique. Nous mettons également en évidence la façon dont les pratiques de consommation déviantes participent à la fois à la réappropriation des performances masculines des consommateurs, ainsi qu’à une possible remise en question de la légitimité du système dominant. Nous comprenons toutefois que la nécessité d’une reconnaissance par le système pousse les consommateurs à reproduire les dynamiques </w:t>
      </w:r>
      <w:r w:rsidR="00797826">
        <w:rPr>
          <w:rFonts w:cs="Times New Roman"/>
          <w:color w:val="000000" w:themeColor="text1"/>
          <w:sz w:val="20"/>
          <w:szCs w:val="20"/>
        </w:rPr>
        <w:t>de la masculinité hégémonique</w:t>
      </w:r>
      <w:r w:rsidRPr="00417F38">
        <w:rPr>
          <w:rFonts w:cs="Times New Roman"/>
          <w:color w:val="000000" w:themeColor="text1"/>
          <w:sz w:val="20"/>
          <w:szCs w:val="20"/>
        </w:rPr>
        <w:t xml:space="preserve"> et à redéfinir des frontières acceptables de la pratique transgressive. L’émancipation des consommateurs semble ainsi se construire dans une dialectique complexe avec la soumission au cadre normatif</w:t>
      </w:r>
      <w:r w:rsidR="00797826">
        <w:rPr>
          <w:rFonts w:cs="Times New Roman"/>
          <w:color w:val="000000" w:themeColor="text1"/>
          <w:sz w:val="20"/>
          <w:szCs w:val="20"/>
        </w:rPr>
        <w:t xml:space="preserve"> de référence</w:t>
      </w:r>
      <w:r w:rsidRPr="00417F38">
        <w:rPr>
          <w:rFonts w:cs="Times New Roman"/>
          <w:color w:val="000000" w:themeColor="text1"/>
          <w:sz w:val="20"/>
          <w:szCs w:val="20"/>
        </w:rPr>
        <w:t>, et nous soulevons le coût de la masculinité hégémonique pour les hommes face à leur</w:t>
      </w:r>
      <w:r w:rsidR="00F45EDF">
        <w:rPr>
          <w:rFonts w:cs="Times New Roman"/>
          <w:color w:val="000000" w:themeColor="text1"/>
          <w:sz w:val="20"/>
          <w:szCs w:val="20"/>
        </w:rPr>
        <w:t>s</w:t>
      </w:r>
      <w:r w:rsidRPr="00417F38">
        <w:rPr>
          <w:rFonts w:cs="Times New Roman"/>
          <w:color w:val="000000" w:themeColor="text1"/>
          <w:sz w:val="20"/>
          <w:szCs w:val="20"/>
        </w:rPr>
        <w:t xml:space="preserve"> </w:t>
      </w:r>
      <w:r w:rsidR="00F45EDF">
        <w:rPr>
          <w:rFonts w:cs="Times New Roman"/>
          <w:color w:val="000000" w:themeColor="text1"/>
          <w:sz w:val="20"/>
          <w:szCs w:val="20"/>
        </w:rPr>
        <w:t>pratiques de c</w:t>
      </w:r>
      <w:r w:rsidRPr="00417F38">
        <w:rPr>
          <w:rFonts w:cs="Times New Roman"/>
          <w:color w:val="000000" w:themeColor="text1"/>
          <w:sz w:val="20"/>
          <w:szCs w:val="20"/>
        </w:rPr>
        <w:t>onsommation.</w:t>
      </w:r>
      <w:r w:rsidR="00417F38">
        <w:rPr>
          <w:rFonts w:cs="Times New Roman"/>
          <w:color w:val="000000" w:themeColor="text1"/>
          <w:sz w:val="20"/>
          <w:szCs w:val="20"/>
        </w:rPr>
        <w:t xml:space="preserve"> </w:t>
      </w:r>
    </w:p>
    <w:p w14:paraId="66DD74C1" w14:textId="136E3154" w:rsidR="00C63575" w:rsidRPr="00417F38" w:rsidRDefault="00C63575" w:rsidP="00E355B5">
      <w:pPr>
        <w:rPr>
          <w:rFonts w:cs="Times New Roman"/>
          <w:color w:val="000000" w:themeColor="text1"/>
          <w:sz w:val="20"/>
          <w:szCs w:val="20"/>
        </w:rPr>
      </w:pPr>
      <w:r w:rsidRPr="00417F38">
        <w:rPr>
          <w:rFonts w:cs="Times New Roman"/>
          <w:color w:val="000000" w:themeColor="text1"/>
          <w:sz w:val="20"/>
          <w:szCs w:val="20"/>
        </w:rPr>
        <w:t xml:space="preserve">Ce travail souhaite ainsi offrir des contributions théoriques autour des thématiques du genre et des espaces sociaux de la consommation, des </w:t>
      </w:r>
      <w:r w:rsidR="00F45EDF">
        <w:rPr>
          <w:rFonts w:cs="Times New Roman"/>
          <w:color w:val="000000" w:themeColor="text1"/>
          <w:sz w:val="20"/>
          <w:szCs w:val="20"/>
        </w:rPr>
        <w:t>réflexions</w:t>
      </w:r>
      <w:r w:rsidRPr="00417F38">
        <w:rPr>
          <w:rFonts w:cs="Times New Roman"/>
          <w:color w:val="000000" w:themeColor="text1"/>
          <w:sz w:val="20"/>
          <w:szCs w:val="20"/>
        </w:rPr>
        <w:t xml:space="preserve"> </w:t>
      </w:r>
      <w:r w:rsidR="00F45EDF">
        <w:rPr>
          <w:rFonts w:cs="Times New Roman"/>
          <w:color w:val="000000" w:themeColor="text1"/>
          <w:sz w:val="20"/>
          <w:szCs w:val="20"/>
        </w:rPr>
        <w:t xml:space="preserve">méthodologiques quant aux protocoles adaptés à l’études des </w:t>
      </w:r>
      <w:r w:rsidRPr="00417F38">
        <w:rPr>
          <w:rFonts w:cs="Times New Roman"/>
          <w:color w:val="000000" w:themeColor="text1"/>
          <w:sz w:val="20"/>
          <w:szCs w:val="20"/>
        </w:rPr>
        <w:t xml:space="preserve">terrains de recherches </w:t>
      </w:r>
      <w:r w:rsidR="00F45EDF">
        <w:rPr>
          <w:rFonts w:cs="Times New Roman"/>
          <w:color w:val="000000" w:themeColor="text1"/>
          <w:sz w:val="20"/>
          <w:szCs w:val="20"/>
        </w:rPr>
        <w:t xml:space="preserve">dits </w:t>
      </w:r>
      <w:r w:rsidRPr="00417F38">
        <w:rPr>
          <w:rFonts w:cs="Times New Roman"/>
          <w:color w:val="000000" w:themeColor="text1"/>
          <w:sz w:val="20"/>
          <w:szCs w:val="20"/>
        </w:rPr>
        <w:t>sensibles, ainsi que des contributions managériales axées sur le marketing genré et les espaces sociaux</w:t>
      </w:r>
      <w:r w:rsidR="00F45EDF">
        <w:rPr>
          <w:rFonts w:cs="Times New Roman"/>
          <w:color w:val="000000" w:themeColor="text1"/>
          <w:sz w:val="20"/>
          <w:szCs w:val="20"/>
        </w:rPr>
        <w:t>. Ces derniers se révèlent en effet être des ressources à la</w:t>
      </w:r>
      <w:r w:rsidRPr="00417F38">
        <w:rPr>
          <w:rFonts w:cs="Times New Roman"/>
          <w:color w:val="000000" w:themeColor="text1"/>
          <w:sz w:val="20"/>
          <w:szCs w:val="20"/>
        </w:rPr>
        <w:t xml:space="preserve"> légitimation culturelle et </w:t>
      </w:r>
      <w:r w:rsidR="00F45EDF">
        <w:rPr>
          <w:rFonts w:cs="Times New Roman"/>
          <w:color w:val="000000" w:themeColor="text1"/>
          <w:sz w:val="20"/>
          <w:szCs w:val="20"/>
        </w:rPr>
        <w:t xml:space="preserve">représentent, par conséquents, des outils à l’action </w:t>
      </w:r>
      <w:r w:rsidRPr="00417F38">
        <w:rPr>
          <w:rFonts w:cs="Times New Roman"/>
          <w:color w:val="000000" w:themeColor="text1"/>
          <w:sz w:val="20"/>
          <w:szCs w:val="20"/>
        </w:rPr>
        <w:t>politique.</w:t>
      </w:r>
    </w:p>
    <w:sectPr w:rsidR="00C63575" w:rsidRPr="00417F38" w:rsidSect="00DE249D">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47F"/>
    <w:multiLevelType w:val="hybridMultilevel"/>
    <w:tmpl w:val="B4E666D8"/>
    <w:lvl w:ilvl="0" w:tplc="A458393A">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84C05"/>
    <w:multiLevelType w:val="hybridMultilevel"/>
    <w:tmpl w:val="B3CC1104"/>
    <w:lvl w:ilvl="0" w:tplc="73ECA816">
      <w:start w:val="1"/>
      <w:numFmt w:val="upperLetter"/>
      <w:pStyle w:val="Titre3"/>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0DEB20B4"/>
    <w:multiLevelType w:val="hybridMultilevel"/>
    <w:tmpl w:val="88EC38CA"/>
    <w:lvl w:ilvl="0" w:tplc="711E2D1E">
      <w:start w:val="1"/>
      <w:numFmt w:val="decimal"/>
      <w:pStyle w:val="Titre4"/>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3" w15:restartNumberingAfterBreak="0">
    <w:nsid w:val="11300A6A"/>
    <w:multiLevelType w:val="hybridMultilevel"/>
    <w:tmpl w:val="A4AA9962"/>
    <w:lvl w:ilvl="0" w:tplc="BADADBD8">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8B3F5C"/>
    <w:multiLevelType w:val="hybridMultilevel"/>
    <w:tmpl w:val="9F4A68F2"/>
    <w:lvl w:ilvl="0" w:tplc="66F89C32">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09102F"/>
    <w:multiLevelType w:val="hybridMultilevel"/>
    <w:tmpl w:val="25521B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753468"/>
    <w:multiLevelType w:val="hybridMultilevel"/>
    <w:tmpl w:val="63D2CEAA"/>
    <w:lvl w:ilvl="0" w:tplc="76FE7582">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8B54D4"/>
    <w:multiLevelType w:val="hybridMultilevel"/>
    <w:tmpl w:val="2BA4AD5E"/>
    <w:lvl w:ilvl="0" w:tplc="76FE7582">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4F"/>
    <w:rsid w:val="0000224A"/>
    <w:rsid w:val="000650B8"/>
    <w:rsid w:val="000A7DEB"/>
    <w:rsid w:val="00101ED4"/>
    <w:rsid w:val="00264140"/>
    <w:rsid w:val="002D186F"/>
    <w:rsid w:val="00397DFB"/>
    <w:rsid w:val="00417F38"/>
    <w:rsid w:val="004553B5"/>
    <w:rsid w:val="004E3DBE"/>
    <w:rsid w:val="00534225"/>
    <w:rsid w:val="0056347E"/>
    <w:rsid w:val="00797826"/>
    <w:rsid w:val="00846B90"/>
    <w:rsid w:val="00862C11"/>
    <w:rsid w:val="00891B11"/>
    <w:rsid w:val="008C47D6"/>
    <w:rsid w:val="009D71A0"/>
    <w:rsid w:val="00AD694F"/>
    <w:rsid w:val="00B113B1"/>
    <w:rsid w:val="00B66E76"/>
    <w:rsid w:val="00C63575"/>
    <w:rsid w:val="00D24205"/>
    <w:rsid w:val="00DE197C"/>
    <w:rsid w:val="00DE249D"/>
    <w:rsid w:val="00E17874"/>
    <w:rsid w:val="00E355B5"/>
    <w:rsid w:val="00EB0600"/>
    <w:rsid w:val="00EF70F1"/>
    <w:rsid w:val="00F17A44"/>
    <w:rsid w:val="00F45EDF"/>
    <w:rsid w:val="00FA1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CB1A"/>
  <w15:chartTrackingRefBased/>
  <w15:docId w15:val="{E04ACA75-8727-4E9F-8454-4E1BBA1B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575"/>
    <w:pPr>
      <w:spacing w:after="120" w:line="360" w:lineRule="auto"/>
      <w:jc w:val="both"/>
    </w:pPr>
    <w:rPr>
      <w:rFonts w:ascii="Times New Roman" w:hAnsi="Times New Roman"/>
      <w:sz w:val="24"/>
    </w:rPr>
  </w:style>
  <w:style w:type="paragraph" w:styleId="Titre1">
    <w:name w:val="heading 1"/>
    <w:basedOn w:val="Normal"/>
    <w:next w:val="Normal"/>
    <w:link w:val="Titre1Car"/>
    <w:uiPriority w:val="9"/>
    <w:qFormat/>
    <w:rsid w:val="009D71A0"/>
    <w:pPr>
      <w:keepNext/>
      <w:keepLines/>
      <w:spacing w:before="240" w:after="0"/>
      <w:jc w:val="center"/>
      <w:outlineLvl w:val="0"/>
    </w:pPr>
    <w:rPr>
      <w:rFonts w:eastAsiaTheme="majorEastAsia" w:cstheme="majorBidi"/>
      <w:b/>
      <w:color w:val="323E4F" w:themeColor="text2" w:themeShade="BF"/>
      <w:sz w:val="36"/>
      <w:szCs w:val="32"/>
    </w:rPr>
  </w:style>
  <w:style w:type="paragraph" w:styleId="Titre2">
    <w:name w:val="heading 2"/>
    <w:basedOn w:val="Normal"/>
    <w:next w:val="Normal"/>
    <w:link w:val="Titre2Car"/>
    <w:uiPriority w:val="9"/>
    <w:unhideWhenUsed/>
    <w:qFormat/>
    <w:rsid w:val="009D71A0"/>
    <w:pPr>
      <w:keepNext/>
      <w:keepLines/>
      <w:numPr>
        <w:numId w:val="1"/>
      </w:numPr>
      <w:spacing w:before="120" w:after="40"/>
      <w:outlineLvl w:val="1"/>
    </w:pPr>
    <w:rPr>
      <w:rFonts w:eastAsiaTheme="majorEastAsia" w:cstheme="majorBidi"/>
      <w:b/>
      <w:color w:val="8496B0" w:themeColor="text2" w:themeTint="99"/>
      <w:sz w:val="28"/>
      <w:szCs w:val="26"/>
      <w:u w:val="single"/>
    </w:rPr>
  </w:style>
  <w:style w:type="paragraph" w:styleId="Titre3">
    <w:name w:val="heading 3"/>
    <w:basedOn w:val="Normal"/>
    <w:next w:val="Normal"/>
    <w:link w:val="Titre3Car"/>
    <w:uiPriority w:val="9"/>
    <w:unhideWhenUsed/>
    <w:qFormat/>
    <w:rsid w:val="009D71A0"/>
    <w:pPr>
      <w:keepNext/>
      <w:keepLines/>
      <w:numPr>
        <w:numId w:val="2"/>
      </w:numPr>
      <w:spacing w:before="120" w:after="40"/>
      <w:outlineLvl w:val="2"/>
    </w:pPr>
    <w:rPr>
      <w:rFonts w:eastAsiaTheme="majorEastAsia" w:cstheme="majorBidi"/>
      <w:color w:val="1F3763" w:themeColor="accent1" w:themeShade="7F"/>
      <w:szCs w:val="24"/>
      <w:u w:val="single"/>
    </w:rPr>
  </w:style>
  <w:style w:type="paragraph" w:styleId="Titre4">
    <w:name w:val="heading 4"/>
    <w:basedOn w:val="Normal"/>
    <w:next w:val="Normal"/>
    <w:link w:val="Titre4Car"/>
    <w:uiPriority w:val="9"/>
    <w:unhideWhenUsed/>
    <w:qFormat/>
    <w:rsid w:val="009D71A0"/>
    <w:pPr>
      <w:keepNext/>
      <w:keepLines/>
      <w:numPr>
        <w:numId w:val="3"/>
      </w:numPr>
      <w:spacing w:before="40" w:after="0"/>
      <w:outlineLvl w:val="3"/>
    </w:pPr>
    <w:rPr>
      <w:rFonts w:asciiTheme="majorHAnsi" w:eastAsiaTheme="majorEastAsia" w:hAnsiTheme="majorHAnsi" w:cstheme="majorBidi"/>
      <w:iCs/>
      <w:color w:val="2F5496" w:themeColor="accent1" w:themeShade="BF"/>
    </w:rPr>
  </w:style>
  <w:style w:type="paragraph" w:styleId="Titre5">
    <w:name w:val="heading 5"/>
    <w:basedOn w:val="Normal"/>
    <w:next w:val="Normal"/>
    <w:link w:val="Titre5Car"/>
    <w:uiPriority w:val="9"/>
    <w:unhideWhenUsed/>
    <w:qFormat/>
    <w:rsid w:val="009D71A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71A0"/>
    <w:rPr>
      <w:rFonts w:ascii="Times New Roman" w:eastAsiaTheme="majorEastAsia" w:hAnsi="Times New Roman" w:cstheme="majorBidi"/>
      <w:b/>
      <w:color w:val="323E4F" w:themeColor="text2" w:themeShade="BF"/>
      <w:sz w:val="36"/>
      <w:szCs w:val="32"/>
    </w:rPr>
  </w:style>
  <w:style w:type="character" w:customStyle="1" w:styleId="Titre2Car">
    <w:name w:val="Titre 2 Car"/>
    <w:basedOn w:val="Policepardfaut"/>
    <w:link w:val="Titre2"/>
    <w:uiPriority w:val="9"/>
    <w:rsid w:val="009D71A0"/>
    <w:rPr>
      <w:rFonts w:ascii="Times New Roman" w:eastAsiaTheme="majorEastAsia" w:hAnsi="Times New Roman" w:cstheme="majorBidi"/>
      <w:b/>
      <w:color w:val="8496B0" w:themeColor="text2" w:themeTint="99"/>
      <w:sz w:val="28"/>
      <w:szCs w:val="26"/>
      <w:u w:val="single"/>
    </w:rPr>
  </w:style>
  <w:style w:type="character" w:customStyle="1" w:styleId="Titre3Car">
    <w:name w:val="Titre 3 Car"/>
    <w:basedOn w:val="Policepardfaut"/>
    <w:link w:val="Titre3"/>
    <w:uiPriority w:val="9"/>
    <w:rsid w:val="009D71A0"/>
    <w:rPr>
      <w:rFonts w:ascii="Times New Roman" w:eastAsiaTheme="majorEastAsia" w:hAnsi="Times New Roman" w:cstheme="majorBidi"/>
      <w:color w:val="1F3763" w:themeColor="accent1" w:themeShade="7F"/>
      <w:sz w:val="24"/>
      <w:szCs w:val="24"/>
      <w:u w:val="single"/>
    </w:rPr>
  </w:style>
  <w:style w:type="character" w:customStyle="1" w:styleId="Titre4Car">
    <w:name w:val="Titre 4 Car"/>
    <w:basedOn w:val="Policepardfaut"/>
    <w:link w:val="Titre4"/>
    <w:uiPriority w:val="9"/>
    <w:rsid w:val="009D71A0"/>
    <w:rPr>
      <w:rFonts w:asciiTheme="majorHAnsi" w:eastAsiaTheme="majorEastAsia" w:hAnsiTheme="majorHAnsi" w:cstheme="majorBidi"/>
      <w:iCs/>
      <w:color w:val="2F5496" w:themeColor="accent1" w:themeShade="BF"/>
    </w:rPr>
  </w:style>
  <w:style w:type="character" w:customStyle="1" w:styleId="Titre5Car">
    <w:name w:val="Titre 5 Car"/>
    <w:basedOn w:val="Policepardfaut"/>
    <w:link w:val="Titre5"/>
    <w:uiPriority w:val="9"/>
    <w:rsid w:val="009D71A0"/>
    <w:rPr>
      <w:rFonts w:asciiTheme="majorHAnsi" w:eastAsiaTheme="majorEastAsia" w:hAnsiTheme="majorHAnsi" w:cstheme="majorBidi"/>
      <w:color w:val="2F5496" w:themeColor="accent1" w:themeShade="BF"/>
    </w:rPr>
  </w:style>
  <w:style w:type="paragraph" w:styleId="Paragraphedeliste">
    <w:name w:val="List Paragraph"/>
    <w:basedOn w:val="Normal"/>
    <w:uiPriority w:val="34"/>
    <w:qFormat/>
    <w:rsid w:val="00AD694F"/>
    <w:pPr>
      <w:ind w:left="720"/>
      <w:contextualSpacing/>
    </w:pPr>
  </w:style>
  <w:style w:type="character" w:styleId="Marquedecommentaire">
    <w:name w:val="annotation reference"/>
    <w:basedOn w:val="Policepardfaut"/>
    <w:uiPriority w:val="99"/>
    <w:semiHidden/>
    <w:unhideWhenUsed/>
    <w:rsid w:val="002D186F"/>
    <w:rPr>
      <w:sz w:val="16"/>
      <w:szCs w:val="16"/>
    </w:rPr>
  </w:style>
  <w:style w:type="paragraph" w:styleId="Commentaire">
    <w:name w:val="annotation text"/>
    <w:basedOn w:val="Normal"/>
    <w:link w:val="CommentaireCar"/>
    <w:uiPriority w:val="99"/>
    <w:semiHidden/>
    <w:unhideWhenUsed/>
    <w:rsid w:val="002D186F"/>
    <w:pPr>
      <w:spacing w:line="240" w:lineRule="auto"/>
    </w:pPr>
    <w:rPr>
      <w:sz w:val="20"/>
      <w:szCs w:val="20"/>
    </w:rPr>
  </w:style>
  <w:style w:type="character" w:customStyle="1" w:styleId="CommentaireCar">
    <w:name w:val="Commentaire Car"/>
    <w:basedOn w:val="Policepardfaut"/>
    <w:link w:val="Commentaire"/>
    <w:uiPriority w:val="99"/>
    <w:semiHidden/>
    <w:rsid w:val="002D186F"/>
    <w:rPr>
      <w:sz w:val="20"/>
      <w:szCs w:val="20"/>
    </w:rPr>
  </w:style>
  <w:style w:type="paragraph" w:styleId="Objetducommentaire">
    <w:name w:val="annotation subject"/>
    <w:basedOn w:val="Commentaire"/>
    <w:next w:val="Commentaire"/>
    <w:link w:val="ObjetducommentaireCar"/>
    <w:uiPriority w:val="99"/>
    <w:semiHidden/>
    <w:unhideWhenUsed/>
    <w:rsid w:val="002D186F"/>
    <w:rPr>
      <w:b/>
      <w:bCs/>
    </w:rPr>
  </w:style>
  <w:style w:type="character" w:customStyle="1" w:styleId="ObjetducommentaireCar">
    <w:name w:val="Objet du commentaire Car"/>
    <w:basedOn w:val="CommentaireCar"/>
    <w:link w:val="Objetducommentaire"/>
    <w:uiPriority w:val="99"/>
    <w:semiHidden/>
    <w:rsid w:val="002D18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D65E9BD58BF4BBCB48AC7A5F020E6" ma:contentTypeVersion="7" ma:contentTypeDescription="Crée un document." ma:contentTypeScope="" ma:versionID="7fcd6e166f1b14dcdeda4b3f4fe4bdfa">
  <xsd:schema xmlns:xsd="http://www.w3.org/2001/XMLSchema" xmlns:xs="http://www.w3.org/2001/XMLSchema" xmlns:p="http://schemas.microsoft.com/office/2006/metadata/properties" xmlns:ns3="c6539720-95fa-4b6a-9395-de1b6ef7f40c" xmlns:ns4="395c724f-58e7-4ff3-b70d-2fab5230e633" targetNamespace="http://schemas.microsoft.com/office/2006/metadata/properties" ma:root="true" ma:fieldsID="82775b98b7d3087e53b4c6b74277e8ae" ns3:_="" ns4:_="">
    <xsd:import namespace="c6539720-95fa-4b6a-9395-de1b6ef7f40c"/>
    <xsd:import namespace="395c724f-58e7-4ff3-b70d-2fab5230e6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39720-95fa-4b6a-9395-de1b6ef7f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c724f-58e7-4ff3-b70d-2fab5230e63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7FD3A-ACE5-438E-8A29-281E2242F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39720-95fa-4b6a-9395-de1b6ef7f40c"/>
    <ds:schemaRef ds:uri="395c724f-58e7-4ff3-b70d-2fab5230e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D9318-445B-42E2-AE8E-DB66669B72AB}">
  <ds:schemaRefs>
    <ds:schemaRef ds:uri="http://schemas.microsoft.com/sharepoint/v3/contenttype/forms"/>
  </ds:schemaRefs>
</ds:datastoreItem>
</file>

<file path=customXml/itemProps3.xml><?xml version="1.0" encoding="utf-8"?>
<ds:datastoreItem xmlns:ds="http://schemas.openxmlformats.org/officeDocument/2006/customXml" ds:itemID="{1FBA8FA8-72E4-4714-8BFD-877020FE7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477</Words>
  <Characters>2628</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Lallemand</dc:creator>
  <cp:keywords/>
  <dc:description/>
  <cp:lastModifiedBy>Coralie Lallemand</cp:lastModifiedBy>
  <cp:revision>5</cp:revision>
  <cp:lastPrinted>2021-10-05T13:31:00Z</cp:lastPrinted>
  <dcterms:created xsi:type="dcterms:W3CDTF">2021-10-08T09:12:00Z</dcterms:created>
  <dcterms:modified xsi:type="dcterms:W3CDTF">2021-10-08T09:19:00Z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0x010100685D65E9BD58BF4BBCB48AC7A5F020E6</vt:lpwstr>
  </property>
</Properties>
</file>